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51172"/>
      <w:bookmarkEnd w:id="1"/>
      <w:bookmarkStart w:id="2" w:name="_Hlt450066087"/>
      <w:bookmarkEnd w:id="2"/>
      <w:bookmarkStart w:id="3" w:name="_Hlt450066085"/>
      <w:bookmarkEnd w:id="3"/>
      <w:bookmarkStart w:id="4" w:name="_Hlt448930105"/>
      <w:bookmarkEnd w:id="4"/>
      <w:bookmarkStart w:id="5" w:name="_Hlt450039480"/>
      <w:bookmarkEnd w:id="5"/>
      <w:bookmarkStart w:id="6" w:name="OLE_LINK49"/>
      <w:bookmarkStart w:id="7" w:name="OLE_LINK111"/>
      <w:bookmarkStart w:id="8" w:name="OLE_LINK27"/>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601356</w:t>
      </w:r>
      <w:bookmarkStart w:id="13" w:name="_GoBack"/>
      <w:bookmarkEnd w:id="13"/>
    </w:p>
    <w:p>
      <w:pPr>
        <w:pStyle w:val="76"/>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Gothenburg, Sweden, Feb. 09-13</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HD-FDD VSAT on Ku band</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7.6.4.2</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8"/>
        <w:rPr>
          <w:lang w:val="en-US"/>
        </w:rPr>
      </w:pPr>
      <w:r>
        <w:rPr>
          <w:lang w:val="en-US"/>
        </w:rPr>
        <w:t>Intro</w:t>
      </w:r>
      <w:r>
        <w:rPr>
          <w:rStyle w:val="79"/>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#108 meeting, the latest WI“Enhanced requirements for NR NTN and IoT NTN Phase 2”[1] was approved. In current WID, the goal is to specify RF and RRM requirements to support HD-FDD VSATs in both Ka and Ku bands with FR1 and FR2 numerologies. The following description states RAN4’s work in future stage:</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ascii="Times New Roman" w:hAnsi="Times New Roman" w:eastAsia="宋体" w:cs="Times New Roman"/>
                <w:bCs/>
                <w:sz w:val="22"/>
                <w:szCs w:val="22"/>
                <w:highlight w:val="none"/>
                <w:u w:val="none"/>
                <w:lang w:val="en-US" w:eastAsia="zh-CN" w:bidi="ar"/>
              </w:rPr>
            </w:pPr>
            <w:r>
              <w:rPr>
                <w:rFonts w:hint="default" w:ascii="Times New Roman" w:hAnsi="Times New Roman" w:eastAsia="宋体" w:cs="Times New Roman"/>
                <w:bCs/>
                <w:kern w:val="0"/>
                <w:sz w:val="22"/>
                <w:szCs w:val="22"/>
                <w:highlight w:val="none"/>
                <w:u w:val="none"/>
                <w:lang w:val="en-US" w:eastAsia="zh-CN" w:bidi="ar"/>
              </w:rPr>
              <w:t>HD-FDD for NTN Core Part</w:t>
            </w:r>
          </w:p>
          <w:p>
            <w:pPr>
              <w:pStyle w:val="30"/>
              <w:keepNext w:val="0"/>
              <w:keepLines w:val="0"/>
              <w:widowControl/>
              <w:numPr>
                <w:ilvl w:val="0"/>
                <w:numId w:val="3"/>
              </w:numPr>
              <w:suppressLineNumbers w:val="0"/>
              <w:spacing w:before="0" w:beforeAutospacing="0" w:after="0" w:afterAutospacing="0"/>
              <w:ind w:left="810" w:right="0" w:hanging="450"/>
              <w:contextualSpacing/>
              <w:rPr>
                <w:rFonts w:hint="default" w:ascii="Times New Roman" w:hAnsi="Times New Roman" w:cs="Times New Roman"/>
                <w:sz w:val="22"/>
                <w:szCs w:val="22"/>
                <w:highlight w:val="none"/>
                <w:lang w:val="en-US"/>
              </w:rPr>
            </w:pPr>
            <w:r>
              <w:rPr>
                <w:rFonts w:hint="default" w:ascii="Times New Roman" w:hAnsi="Times New Roman" w:cs="Times New Roman"/>
                <w:sz w:val="22"/>
                <w:szCs w:val="22"/>
                <w:highlight w:val="none"/>
                <w:lang w:val="en-US"/>
              </w:rPr>
              <w:t>Specify RF and RRM requirements to support HD-FDD VSATs in both Ka and Ku bands with FR1 and FR2 numerologies</w:t>
            </w:r>
          </w:p>
          <w:p>
            <w:pPr>
              <w:pStyle w:val="30"/>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none"/>
                <w:lang w:val="en-US"/>
              </w:rPr>
            </w:pPr>
            <w:r>
              <w:rPr>
                <w:rFonts w:hint="default" w:ascii="Times New Roman" w:hAnsi="Times New Roman" w:cs="Times New Roman"/>
                <w:b/>
                <w:bCs w:val="0"/>
                <w:sz w:val="22"/>
                <w:szCs w:val="22"/>
                <w:highlight w:val="none"/>
                <w:lang w:val="en-US"/>
              </w:rPr>
              <w:t>Phase 1:</w:t>
            </w:r>
            <w:r>
              <w:rPr>
                <w:rFonts w:hint="default" w:ascii="Times New Roman" w:hAnsi="Times New Roman" w:cs="Times New Roman"/>
                <w:sz w:val="22"/>
                <w:szCs w:val="22"/>
                <w:highlight w:val="none"/>
                <w:lang w:val="en-US"/>
              </w:rPr>
              <w:t xml:space="preserve"> Ku</w:t>
            </w:r>
            <w:r>
              <w:rPr>
                <w:rFonts w:hint="default" w:ascii="Times New Roman" w:hAnsi="Times New Roman" w:eastAsia="Malgun Gothic" w:cs="Times New Roman"/>
                <w:sz w:val="22"/>
                <w:szCs w:val="22"/>
                <w:highlight w:val="none"/>
                <w:lang w:val="en-US" w:eastAsia="ko"/>
              </w:rPr>
              <w:t xml:space="preserve"> band with </w:t>
            </w:r>
            <w:r>
              <w:rPr>
                <w:rFonts w:hint="default" w:ascii="Times New Roman" w:hAnsi="Times New Roman" w:cs="Times New Roman"/>
                <w:sz w:val="22"/>
                <w:szCs w:val="22"/>
                <w:highlight w:val="none"/>
                <w:lang w:val="en-US"/>
              </w:rPr>
              <w:t>FR1 numerology</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Introduce a single set of requirements for HD-FDD for VSAT types 2, 3, 5, 6 with electronically steered antenna</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 xml:space="preserve">Introduce requirements for HD-FDD </w:t>
            </w:r>
            <w:r>
              <w:rPr>
                <w:rFonts w:hint="default" w:ascii="Times New Roman" w:hAnsi="Times New Roman" w:eastAsia="Malgun Gothic" w:cs="Times New Roman"/>
                <w:bCs/>
                <w:sz w:val="22"/>
                <w:szCs w:val="22"/>
                <w:highlight w:val="none"/>
                <w:lang w:val="en-US" w:eastAsia="ko"/>
              </w:rPr>
              <w:t xml:space="preserve">Mobile </w:t>
            </w:r>
            <w:r>
              <w:rPr>
                <w:rFonts w:hint="default" w:ascii="Times New Roman" w:hAnsi="Times New Roman" w:cs="Times New Roman"/>
                <w:bCs/>
                <w:sz w:val="22"/>
                <w:szCs w:val="22"/>
                <w:highlight w:val="none"/>
                <w:lang w:val="en-US"/>
              </w:rPr>
              <w:t>VSAT with small antennas (e.g., 20x20cm) with a new VSAT type</w:t>
            </w:r>
          </w:p>
          <w:p>
            <w:pPr>
              <w:pStyle w:val="30"/>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none"/>
                <w:lang w:val="en-US"/>
              </w:rPr>
            </w:pPr>
            <w:r>
              <w:rPr>
                <w:rFonts w:hint="default" w:ascii="Times New Roman" w:hAnsi="Times New Roman" w:cs="Times New Roman"/>
                <w:b/>
                <w:bCs w:val="0"/>
                <w:sz w:val="22"/>
                <w:szCs w:val="22"/>
                <w:highlight w:val="none"/>
                <w:lang w:val="en-US"/>
              </w:rPr>
              <w:t>Phase 2:</w:t>
            </w:r>
            <w:r>
              <w:rPr>
                <w:rFonts w:hint="default" w:ascii="Times New Roman" w:hAnsi="Times New Roman" w:cs="Times New Roman"/>
                <w:sz w:val="22"/>
                <w:szCs w:val="22"/>
                <w:highlight w:val="none"/>
                <w:lang w:val="en-US"/>
              </w:rPr>
              <w:t xml:space="preserve">  Ku band and Ka band with FR2 numerology </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Introduce a single set of requirements for HD-FDD for VSAT types 2, 3, 5, 6 with electronically steered antenna</w:t>
            </w:r>
          </w:p>
          <w:p>
            <w:pPr>
              <w:pStyle w:val="30"/>
              <w:keepNext w:val="0"/>
              <w:keepLines w:val="0"/>
              <w:widowControl/>
              <w:numPr>
                <w:ilvl w:val="1"/>
                <w:numId w:val="4"/>
              </w:numPr>
              <w:suppressLineNumbers w:val="0"/>
              <w:overflowPunct/>
              <w:autoSpaceDE/>
              <w:autoSpaceDN w:val="0"/>
              <w:adjustRightInd/>
              <w:spacing w:before="0" w:beforeAutospacing="0" w:after="0" w:afterAutospacing="0"/>
              <w:ind w:left="1680" w:right="0" w:hanging="480"/>
              <w:contextualSpacing/>
              <w:rPr>
                <w:rFonts w:hint="default" w:ascii="Times New Roman" w:hAnsi="Times New Roman" w:cs="Times New Roman"/>
                <w:bCs/>
                <w:sz w:val="22"/>
                <w:szCs w:val="22"/>
                <w:highlight w:val="none"/>
                <w:lang w:val="en-US"/>
              </w:rPr>
            </w:pPr>
            <w:r>
              <w:rPr>
                <w:rFonts w:hint="default" w:ascii="Times New Roman" w:hAnsi="Times New Roman" w:cs="Times New Roman"/>
                <w:bCs/>
                <w:sz w:val="22"/>
                <w:szCs w:val="22"/>
                <w:highlight w:val="none"/>
                <w:lang w:val="en-US"/>
              </w:rPr>
              <w:t xml:space="preserve">Introduce requirements for HD-FDD </w:t>
            </w:r>
            <w:r>
              <w:rPr>
                <w:rFonts w:hint="default" w:ascii="Times New Roman" w:hAnsi="Times New Roman" w:eastAsia="Malgun Gothic" w:cs="Times New Roman"/>
                <w:bCs/>
                <w:sz w:val="22"/>
                <w:szCs w:val="22"/>
                <w:highlight w:val="none"/>
                <w:lang w:val="en-US" w:eastAsia="ko"/>
              </w:rPr>
              <w:t xml:space="preserve">Mobile </w:t>
            </w:r>
            <w:r>
              <w:rPr>
                <w:rFonts w:hint="default" w:ascii="Times New Roman" w:hAnsi="Times New Roman" w:cs="Times New Roman"/>
                <w:bCs/>
                <w:sz w:val="22"/>
                <w:szCs w:val="22"/>
                <w:highlight w:val="none"/>
                <w:lang w:val="en-US"/>
              </w:rPr>
              <w:t>VSAT with small antennas (e.g., 20x20cm) with a new VSAT type</w:t>
            </w:r>
          </w:p>
          <w:p>
            <w:pPr>
              <w:pStyle w:val="30"/>
              <w:keepNext w:val="0"/>
              <w:keepLines w:val="0"/>
              <w:widowControl/>
              <w:numPr>
                <w:ilvl w:val="0"/>
                <w:numId w:val="4"/>
              </w:numPr>
              <w:suppressLineNumbers w:val="0"/>
              <w:overflowPunct/>
              <w:autoSpaceDE/>
              <w:autoSpaceDN w:val="0"/>
              <w:adjustRightInd/>
              <w:spacing w:before="0" w:beforeAutospacing="0" w:after="0" w:afterAutospacing="0"/>
              <w:ind w:left="1200" w:right="0" w:hanging="480"/>
              <w:contextualSpacing/>
              <w:rPr>
                <w:rFonts w:hint="default" w:ascii="Times New Roman" w:hAnsi="Times New Roman" w:cs="Times New Roman"/>
                <w:sz w:val="22"/>
                <w:szCs w:val="22"/>
                <w:highlight w:val="none"/>
                <w:lang w:val="en-US"/>
              </w:rPr>
            </w:pPr>
            <w:r>
              <w:rPr>
                <w:rFonts w:hint="default" w:ascii="Times New Roman" w:hAnsi="Times New Roman" w:cs="Times New Roman"/>
                <w:sz w:val="22"/>
                <w:szCs w:val="22"/>
                <w:highlight w:val="none"/>
                <w:lang w:val="en-US"/>
              </w:rPr>
              <w:t xml:space="preserve">Phase 1 work will commence immediately.  Phase 2 work will commence upon completion of Phase 1 and RAN1/RAN2 availability. </w:t>
            </w:r>
          </w:p>
          <w:p>
            <w:pPr>
              <w:pStyle w:val="30"/>
              <w:keepNext w:val="0"/>
              <w:keepLines w:val="0"/>
              <w:widowControl/>
              <w:numPr>
                <w:ilvl w:val="0"/>
                <w:numId w:val="5"/>
              </w:numPr>
              <w:suppressLineNumbers w:val="0"/>
              <w:ind w:left="0" w:hanging="360"/>
              <w:rPr>
                <w:rFonts w:hint="default" w:ascii="Times New Roman" w:hAnsi="Times New Roman" w:eastAsia="宋体" w:cs="Times New Roman"/>
              </w:rPr>
            </w:pPr>
            <w:r>
              <w:rPr>
                <w:rFonts w:hint="default" w:ascii="Times New Roman" w:hAnsi="Times New Roman" w:cs="Times New Roman"/>
                <w:bCs/>
                <w:sz w:val="22"/>
                <w:szCs w:val="22"/>
                <w:highlight w:val="none"/>
                <w:lang w:val="en-US"/>
              </w:rPr>
              <w:t>Note :Leverage RedCap NTN HD-FDD solution to NTN HD-FDD VSAT as applicable.</w:t>
            </w:r>
          </w:p>
        </w:tc>
      </w:tr>
    </w:tbl>
    <w:p>
      <w:pPr>
        <w:pStyle w:val="78"/>
        <w:rPr>
          <w:lang w:val="en-US" w:eastAsia="zh-CN"/>
        </w:rPr>
      </w:pPr>
      <w:r>
        <w:rPr>
          <w:lang w:val="en-US"/>
        </w:rPr>
        <w:t>Discussion</w:t>
      </w:r>
    </w:p>
    <w:p>
      <w:pPr>
        <w:jc w:val="both"/>
        <w:rPr>
          <w:rFonts w:hint="eastAsia"/>
          <w:lang w:val="en-US" w:eastAsia="zh-CN"/>
        </w:rPr>
      </w:pPr>
      <w:r>
        <w:rPr>
          <w:rFonts w:hint="eastAsia" w:eastAsia="宋体"/>
          <w:sz w:val="22"/>
          <w:szCs w:val="22"/>
          <w:lang w:val="en-US" w:eastAsia="zh-CN"/>
        </w:rPr>
        <w:t>RAN4 #116bis meeting has kicked off the study of HD-FDD VSAT operating in both Ka and Ku bands with FR1 numerology. As WID said, phase 1 work will commence immediately, and the study of phase 2 will commence upon completion of phase 1 and RAN1/RAN2 availability. In line with the latest WID regarding the RRM core parts, RAN4 shall present some views on Phase 1.</w:t>
      </w:r>
      <w:r>
        <w:rPr>
          <w:rFonts w:hint="eastAsia"/>
          <w:lang w:val="en-US" w:eastAsia="zh-CN"/>
        </w:rPr>
        <w:t xml:space="preserve"> </w:t>
      </w:r>
    </w:p>
    <w:p>
      <w:pPr>
        <w:numPr>
          <w:ilvl w:val="-1"/>
          <w:numId w:val="0"/>
        </w:numPr>
        <w:jc w:val="both"/>
        <w:rPr>
          <w:rFonts w:hint="eastAsia" w:eastAsia="宋体"/>
          <w:sz w:val="22"/>
          <w:szCs w:val="22"/>
          <w:lang w:val="en-US" w:eastAsia="zh-CN"/>
        </w:rPr>
      </w:pPr>
      <w:r>
        <w:rPr>
          <w:rFonts w:hint="default" w:ascii="Times New Roman" w:hAnsi="Times New Roman" w:eastAsia="宋体"/>
          <w:sz w:val="22"/>
          <w:szCs w:val="22"/>
          <w:lang w:val="en-US" w:eastAsia="zh-CN"/>
        </w:rPr>
        <w:t>The latest WID</w:t>
      </w:r>
      <w:r>
        <w:rPr>
          <w:rFonts w:hint="eastAsia" w:eastAsia="宋体"/>
          <w:sz w:val="22"/>
          <w:szCs w:val="22"/>
          <w:lang w:val="en-US" w:eastAsia="zh-CN"/>
        </w:rPr>
        <w:t xml:space="preserve"> states</w:t>
      </w:r>
      <w:r>
        <w:rPr>
          <w:rFonts w:hint="default" w:ascii="Times New Roman" w:hAnsi="Times New Roman" w:eastAsia="宋体"/>
          <w:sz w:val="22"/>
          <w:szCs w:val="22"/>
          <w:lang w:val="en-US" w:eastAsia="zh-CN"/>
        </w:rPr>
        <w:t xml:space="preserve"> leveraging the RedCap NTN HD-FDD solution for NTN HD-FDD VSAT where applicable.</w:t>
      </w:r>
      <w:r>
        <w:rPr>
          <w:rFonts w:hint="eastAsia" w:eastAsia="宋体"/>
          <w:sz w:val="22"/>
          <w:szCs w:val="22"/>
          <w:lang w:val="en-US" w:eastAsia="zh-CN"/>
        </w:rPr>
        <w:t xml:space="preserve"> </w:t>
      </w:r>
      <w:r>
        <w:rPr>
          <w:rFonts w:hint="default" w:ascii="Times New Roman" w:hAnsi="Times New Roman" w:eastAsia="宋体"/>
          <w:sz w:val="22"/>
          <w:szCs w:val="22"/>
          <w:lang w:val="en-US" w:eastAsia="zh-CN"/>
        </w:rPr>
        <w:t xml:space="preserve">We understand this as a directive to use the established RedCap NTN HD-FDD core requirements as a </w:t>
      </w:r>
      <w:r>
        <w:rPr>
          <w:rFonts w:hint="eastAsia" w:eastAsia="宋体"/>
          <w:sz w:val="22"/>
          <w:szCs w:val="22"/>
          <w:lang w:val="en-US" w:eastAsia="zh-CN"/>
        </w:rPr>
        <w:t>starting point</w:t>
      </w:r>
      <w:r>
        <w:rPr>
          <w:rFonts w:hint="default" w:ascii="Times New Roman" w:hAnsi="Times New Roman" w:eastAsia="宋体"/>
          <w:sz w:val="22"/>
          <w:szCs w:val="22"/>
          <w:lang w:val="en-US" w:eastAsia="zh-CN"/>
        </w:rPr>
        <w:t xml:space="preserve"> for defining the RRM requirements for VSAT. Thus, the first step is to systematically review the RedCap requirements to ensure consistency when applying the same logic to the VSAT </w:t>
      </w:r>
      <w:r>
        <w:rPr>
          <w:rFonts w:hint="eastAsia" w:eastAsia="宋体"/>
          <w:sz w:val="22"/>
          <w:szCs w:val="22"/>
          <w:lang w:val="en-US" w:eastAsia="zh-CN"/>
        </w:rPr>
        <w:t>types 2,3,5,6 (Case 1)</w:t>
      </w:r>
      <w:r>
        <w:rPr>
          <w:rFonts w:hint="default" w:ascii="Times New Roman" w:hAnsi="Times New Roman" w:eastAsia="宋体"/>
          <w:sz w:val="22"/>
          <w:szCs w:val="22"/>
          <w:lang w:val="en-US" w:eastAsia="zh-CN"/>
        </w:rPr>
        <w:t>.</w:t>
      </w:r>
      <w:r>
        <w:rPr>
          <w:rFonts w:hint="eastAsia" w:eastAsia="宋体"/>
          <w:sz w:val="22"/>
          <w:szCs w:val="22"/>
          <w:lang w:val="en-US" w:eastAsia="zh-CN"/>
        </w:rPr>
        <w:t xml:space="preserve"> The agreements from the last meeting are listed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20" w:afterAutospacing="0"/>
              <w:ind w:left="0" w:right="0"/>
              <w:rPr>
                <w:rFonts w:hint="default" w:eastAsia="MS Mincho"/>
                <w:sz w:val="20"/>
                <w:szCs w:val="20"/>
                <w:lang w:val="en-US"/>
              </w:rPr>
            </w:pPr>
            <w:r>
              <w:rPr>
                <w:rFonts w:hint="default" w:eastAsia="MS Mincho"/>
                <w:sz w:val="20"/>
                <w:szCs w:val="20"/>
              </w:rPr>
              <w:t>Agreement</w:t>
            </w:r>
          </w:p>
          <w:p>
            <w:pPr>
              <w:pStyle w:val="74"/>
              <w:keepNext w:val="0"/>
              <w:keepLines w:val="0"/>
              <w:widowControl/>
              <w:numPr>
                <w:ilvl w:val="0"/>
                <w:numId w:val="6"/>
              </w:numPr>
              <w:suppressLineNumbers w:val="0"/>
              <w:spacing w:before="0" w:beforeAutospacing="0" w:after="120" w:afterAutospacing="0"/>
              <w:ind w:right="0" w:firstLineChars="0"/>
              <w:textAlignment w:val="auto"/>
              <w:rPr>
                <w:rFonts w:hint="default"/>
              </w:rPr>
            </w:pPr>
            <w:r>
              <w:rPr>
                <w:rFonts w:hint="default"/>
              </w:rPr>
              <w:t>Define the HD</w:t>
            </w:r>
            <w:r>
              <w:rPr>
                <w:rFonts w:hint="default"/>
              </w:rPr>
              <w:noBreakHyphen/>
            </w:r>
            <w:r>
              <w:rPr>
                <w:rFonts w:hint="default"/>
              </w:rPr>
              <w:t>FDD VSAT with FR1 numerology RRM requirements based on the Rel</w:t>
            </w:r>
            <w:r>
              <w:rPr>
                <w:rFonts w:hint="default"/>
              </w:rPr>
              <w:noBreakHyphen/>
            </w:r>
            <w:r>
              <w:rPr>
                <w:rFonts w:hint="default"/>
              </w:rPr>
              <w:t>19 Ku</w:t>
            </w:r>
            <w:r>
              <w:rPr>
                <w:rFonts w:hint="default"/>
              </w:rPr>
              <w:noBreakHyphen/>
            </w:r>
            <w:r>
              <w:rPr>
                <w:rFonts w:hint="default"/>
              </w:rPr>
              <w:t>band NTN FDD requirements, and incorporate updates to address HD</w:t>
            </w:r>
            <w:r>
              <w:rPr>
                <w:rFonts w:hint="default"/>
              </w:rPr>
              <w:noBreakHyphen/>
            </w:r>
            <w:r>
              <w:rPr>
                <w:rFonts w:hint="default"/>
              </w:rPr>
              <w:t>FDD impacts, using the RedCap NTN approach as the baseline.</w:t>
            </w:r>
          </w:p>
          <w:p>
            <w:pPr>
              <w:pStyle w:val="74"/>
              <w:keepNext w:val="0"/>
              <w:keepLines w:val="0"/>
              <w:widowControl/>
              <w:numPr>
                <w:ilvl w:val="0"/>
                <w:numId w:val="6"/>
              </w:numPr>
              <w:suppressLineNumbers w:val="0"/>
              <w:spacing w:before="0" w:beforeAutospacing="0" w:after="120" w:afterAutospacing="0"/>
              <w:ind w:right="0" w:firstLineChars="0"/>
              <w:textAlignment w:val="auto"/>
              <w:rPr>
                <w:rFonts w:hint="default"/>
              </w:rPr>
            </w:pPr>
            <w:r>
              <w:rPr>
                <w:rFonts w:hint="default"/>
              </w:rPr>
              <w:t>The following RRM requirements scope for HD</w:t>
            </w:r>
            <w:r>
              <w:rPr>
                <w:rFonts w:hint="default"/>
              </w:rPr>
              <w:noBreakHyphen/>
            </w:r>
            <w:r>
              <w:rPr>
                <w:rFonts w:hint="default"/>
              </w:rPr>
              <w:t>FDD VSAT in Ku band with FR1 numerology</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Cell reselection, including paging reception</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Handover and CHO</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Satellite switching</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Random access</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 xml:space="preserve">UE UL timing accuracy </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RLM, including scheduling availability and L1 indication</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rPr>
            </w:pPr>
            <w:r>
              <w:rPr>
                <w:rFonts w:hint="default"/>
              </w:rPr>
              <w:t>intra/inter-frequency measurements, including scheduling availability</w:t>
            </w:r>
          </w:p>
          <w:p>
            <w:pPr>
              <w:pStyle w:val="74"/>
              <w:keepNext w:val="0"/>
              <w:keepLines w:val="0"/>
              <w:widowControl/>
              <w:numPr>
                <w:ilvl w:val="1"/>
                <w:numId w:val="6"/>
              </w:numPr>
              <w:suppressLineNumbers w:val="0"/>
              <w:spacing w:before="0" w:beforeAutospacing="0" w:after="120" w:afterAutospacing="0"/>
              <w:ind w:right="0" w:firstLineChars="0"/>
              <w:textAlignment w:val="auto"/>
              <w:rPr>
                <w:rFonts w:hint="default" w:eastAsia="宋体"/>
                <w:sz w:val="22"/>
                <w:szCs w:val="22"/>
                <w:vertAlign w:val="baseline"/>
                <w:lang w:val="en-US" w:eastAsia="zh-CN"/>
              </w:rPr>
            </w:pPr>
            <w:r>
              <w:rPr>
                <w:rFonts w:hint="default"/>
              </w:rPr>
              <w:t>L1-RSRP measurement, including scheduling availability</w:t>
            </w:r>
          </w:p>
        </w:tc>
      </w:tr>
    </w:tbl>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It is observed that RedCap NTN approach shall serve as the baseline for defining the RRM requirements for HD-FDD VSAT with FR1 numerology. The following sections provides as analysis of individual requirements based on the preceding table.</w:t>
      </w:r>
    </w:p>
    <w:p>
      <w:pPr>
        <w:pStyle w:val="4"/>
        <w:jc w:val="both"/>
        <w:rPr>
          <w:rFonts w:hint="default"/>
          <w:sz w:val="22"/>
          <w:szCs w:val="16"/>
          <w:lang w:val="en-US" w:eastAsia="zh-CN"/>
        </w:rPr>
      </w:pPr>
      <w:r>
        <w:rPr>
          <w:rFonts w:hint="eastAsia"/>
          <w:sz w:val="22"/>
          <w:szCs w:val="16"/>
          <w:lang w:val="en-US" w:eastAsia="zh-CN"/>
        </w:rPr>
        <w:t>2.1 RRM requirements scope for HD-FDD VSAT with FR1 numerology</w:t>
      </w:r>
    </w:p>
    <w:p>
      <w:pPr>
        <w:numPr>
          <w:ilvl w:val="-1"/>
          <w:numId w:val="0"/>
        </w:numPr>
        <w:spacing w:beforeLines="50" w:after="0" w:afterLines="50"/>
        <w:jc w:val="both"/>
        <w:rPr>
          <w:rFonts w:hint="default" w:eastAsia="宋体"/>
          <w:sz w:val="22"/>
          <w:szCs w:val="22"/>
          <w:vertAlign w:val="baseline"/>
          <w:lang w:val="en-US" w:eastAsia="zh-CN"/>
        </w:rPr>
      </w:pPr>
      <w:r>
        <w:rPr>
          <w:rFonts w:hint="eastAsia" w:eastAsia="宋体"/>
          <w:sz w:val="22"/>
          <w:szCs w:val="22"/>
          <w:lang w:val="en-US" w:eastAsia="zh-CN"/>
        </w:rPr>
        <w:t>During the last meeting, RAN4 has confirmed that VSAT UE in Ku band with FR1 numerology does not take inter-satellite measurement into this WI scope, but whether and how to capture requirements applicability rule has not decided. The following two options could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4"/>
              <w:keepNext w:val="0"/>
              <w:keepLines w:val="0"/>
              <w:widowControl/>
              <w:numPr>
                <w:ilvl w:val="0"/>
                <w:numId w:val="7"/>
              </w:numPr>
              <w:suppressLineNumbers w:val="0"/>
              <w:spacing w:before="0" w:beforeAutospacing="0" w:after="120" w:afterAutospacing="0"/>
              <w:ind w:right="0" w:firstLineChars="0"/>
              <w:textAlignment w:val="auto"/>
              <w:rPr>
                <w:rFonts w:hint="default"/>
              </w:rPr>
            </w:pPr>
            <w:r>
              <w:rPr>
                <w:rFonts w:hint="default"/>
              </w:rPr>
              <w:t>Discuss whether to capture requirement applicability rule regarding the VSAT types,</w:t>
            </w:r>
          </w:p>
          <w:p>
            <w:pPr>
              <w:pStyle w:val="74"/>
              <w:keepNext w:val="0"/>
              <w:keepLines w:val="0"/>
              <w:widowControl/>
              <w:numPr>
                <w:ilvl w:val="1"/>
                <w:numId w:val="7"/>
              </w:numPr>
              <w:suppressLineNumbers w:val="0"/>
              <w:spacing w:before="0" w:beforeAutospacing="0" w:after="120" w:afterAutospacing="0"/>
              <w:ind w:right="0" w:firstLineChars="0"/>
              <w:textAlignment w:val="auto"/>
              <w:rPr>
                <w:rFonts w:hint="default"/>
              </w:rPr>
            </w:pPr>
            <w:r>
              <w:rPr>
                <w:rFonts w:hint="default"/>
              </w:rPr>
              <w:t>Option 1: clarify the HD-FDD VSAT</w:t>
            </w:r>
            <w:r>
              <w:rPr>
                <w:rFonts w:hint="eastAsia" w:ascii="PMingLiU" w:hAnsi="PMingLiU" w:eastAsia="PMingLiU"/>
                <w:lang w:eastAsia="zh-TW"/>
              </w:rPr>
              <w:t xml:space="preserve"> </w:t>
            </w:r>
            <w:r>
              <w:rPr>
                <w:rFonts w:hint="default"/>
              </w:rPr>
              <w:t>requirements applicability in clause 3 in CR</w:t>
            </w:r>
          </w:p>
          <w:p>
            <w:pPr>
              <w:pStyle w:val="74"/>
              <w:keepNext w:val="0"/>
              <w:keepLines w:val="0"/>
              <w:widowControl/>
              <w:numPr>
                <w:ilvl w:val="1"/>
                <w:numId w:val="7"/>
              </w:numPr>
              <w:suppressLineNumbers w:val="0"/>
              <w:spacing w:before="0" w:beforeAutospacing="0" w:after="120" w:afterAutospacing="0"/>
              <w:ind w:right="0" w:firstLineChars="0"/>
              <w:textAlignment w:val="auto"/>
              <w:rPr>
                <w:rFonts w:hint="default" w:eastAsia="宋体"/>
                <w:sz w:val="22"/>
                <w:szCs w:val="22"/>
                <w:vertAlign w:val="baseline"/>
                <w:lang w:val="en-US" w:eastAsia="zh-CN"/>
              </w:rPr>
            </w:pPr>
            <w:r>
              <w:rPr>
                <w:rFonts w:hint="default"/>
              </w:rPr>
              <w:t>Option 2: no applicability rule for VSAT type needed.</w:t>
            </w:r>
          </w:p>
        </w:tc>
      </w:tr>
    </w:tbl>
    <w:p>
      <w:pPr>
        <w:numPr>
          <w:ilvl w:val="-1"/>
          <w:numId w:val="0"/>
        </w:numPr>
        <w:spacing w:beforeLines="50" w:after="0" w:afterLines="50"/>
        <w:jc w:val="both"/>
        <w:rPr>
          <w:rFonts w:hint="default" w:eastAsia="宋体"/>
          <w:sz w:val="22"/>
          <w:szCs w:val="22"/>
          <w:lang w:val="en-US" w:eastAsia="zh-CN"/>
        </w:rPr>
      </w:pPr>
      <w:r>
        <w:rPr>
          <w:rFonts w:hint="eastAsia" w:eastAsia="宋体"/>
          <w:sz w:val="22"/>
          <w:szCs w:val="22"/>
          <w:lang w:val="en-US" w:eastAsia="zh-CN"/>
        </w:rPr>
        <w:t>For clause 3.6.20, it has specified applicability of requirements for RedCap UE with satellite access, the applicability only limits the RedCap UE works in FR1-NTN with FR1 numerology not VSAT UE. In this clause, the applicability rule also specified the types of UE.</w:t>
      </w:r>
    </w:p>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For clause 3.6.12, it has specified applicability of requirements for satellite access, the applicability only limits normal VSAT UE works in NTN cells with FR1-NTN numerology.</w:t>
      </w:r>
    </w:p>
    <w:p>
      <w:pPr>
        <w:numPr>
          <w:ilvl w:val="-1"/>
          <w:numId w:val="0"/>
        </w:numPr>
        <w:spacing w:beforeLines="50" w:after="0" w:afterLines="50"/>
        <w:jc w:val="both"/>
        <w:rPr>
          <w:rFonts w:hint="eastAsia" w:eastAsia="宋体"/>
          <w:sz w:val="22"/>
          <w:szCs w:val="22"/>
          <w:lang w:val="en-US" w:eastAsia="zh-CN"/>
        </w:rPr>
      </w:pPr>
      <w:r>
        <w:rPr>
          <w:rFonts w:hint="eastAsia" w:eastAsia="宋体"/>
          <w:sz w:val="22"/>
          <w:szCs w:val="22"/>
          <w:lang w:val="en-US" w:eastAsia="zh-CN"/>
        </w:rPr>
        <w:t xml:space="preserve">In this WI, the HD-FDD VSAT UE with FR1 numerology has been considered, it is observed that there is no HD-FDD VSAT UE works in NTN cells with FR1-NTN numerology. Consequently, the requirements applicability rule regarding the VSAT types shall be captured. </w:t>
      </w:r>
    </w:p>
    <w:p>
      <w:pPr>
        <w:numPr>
          <w:ilvl w:val="-1"/>
          <w:numId w:val="0"/>
        </w:numPr>
        <w:spacing w:beforeLines="50" w:after="0" w:afterLines="50"/>
        <w:jc w:val="both"/>
        <w:rPr>
          <w:rFonts w:hint="default" w:eastAsia="宋体"/>
          <w:sz w:val="22"/>
          <w:szCs w:val="22"/>
          <w:vertAlign w:val="baseline"/>
          <w:lang w:val="en-US" w:eastAsia="zh-CN"/>
        </w:rPr>
      </w:pPr>
      <w:r>
        <w:rPr>
          <w:rFonts w:hint="eastAsia" w:eastAsia="宋体"/>
          <w:sz w:val="22"/>
          <w:szCs w:val="22"/>
          <w:lang w:val="en-US" w:eastAsia="zh-CN"/>
        </w:rPr>
        <w:t xml:space="preserve">The applicability rule can be written in clause </w:t>
      </w:r>
      <w:r>
        <w:rPr>
          <w:rFonts w:hint="eastAsia" w:eastAsia="宋体"/>
          <w:b/>
          <w:bCs/>
          <w:sz w:val="22"/>
          <w:szCs w:val="22"/>
          <w:lang w:val="en-US" w:eastAsia="zh-CN"/>
        </w:rPr>
        <w:t>3.6.20</w:t>
      </w:r>
      <w:r>
        <w:rPr>
          <w:rFonts w:hint="eastAsia" w:eastAsia="宋体"/>
          <w:sz w:val="22"/>
          <w:szCs w:val="22"/>
          <w:lang w:val="en-US" w:eastAsia="zh-CN"/>
        </w:rPr>
        <w:t xml:space="preserve"> as follows:</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0" w:beforeLines="50" w:beforeAutospacing="0" w:after="0" w:afterLines="50" w:afterAutospacing="0"/>
              <w:ind w:left="0" w:right="0"/>
              <w:jc w:val="both"/>
              <w:rPr>
                <w:rFonts w:hint="default" w:eastAsia="宋体"/>
                <w:sz w:val="22"/>
                <w:szCs w:val="22"/>
                <w:vertAlign w:val="baseline"/>
                <w:lang w:val="en-US" w:eastAsia="zh-CN"/>
              </w:rPr>
            </w:pPr>
            <w:r>
              <w:rPr>
                <w:rFonts w:hint="eastAsia" w:eastAsia="宋体"/>
                <w:sz w:val="22"/>
                <w:szCs w:val="22"/>
                <w:vertAlign w:val="baseline"/>
                <w:lang w:val="en-US" w:eastAsia="zh-CN"/>
              </w:rPr>
              <w:t>The requirements defined for FR2-NTN apply for HD-FDD VSAT operating in cells with FR1-NTN numerology.</w:t>
            </w:r>
          </w:p>
        </w:tc>
      </w:tr>
    </w:tbl>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 RAN4 shall clarify the HD-FDD VSAT requirements applicability in clause 3.6.20 in CR,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1"/>
                <w:numId w:val="0"/>
              </w:numPr>
              <w:suppressLineNumbers w:val="0"/>
              <w:spacing w:before="0" w:beforeLines="50" w:beforeAutospacing="0" w:after="0" w:afterLines="50" w:afterAutospacing="0"/>
              <w:ind w:left="0" w:right="0"/>
              <w:jc w:val="both"/>
              <w:rPr>
                <w:rFonts w:hint="default" w:eastAsia="宋体"/>
                <w:b/>
                <w:bCs/>
                <w:sz w:val="22"/>
                <w:szCs w:val="22"/>
                <w:vertAlign w:val="baseline"/>
                <w:lang w:val="en-US" w:eastAsia="zh-CN"/>
              </w:rPr>
            </w:pPr>
            <w:r>
              <w:rPr>
                <w:rFonts w:hint="eastAsia" w:eastAsia="宋体"/>
                <w:b/>
                <w:bCs/>
                <w:sz w:val="22"/>
                <w:szCs w:val="22"/>
                <w:vertAlign w:val="baseline"/>
                <w:lang w:val="en-US" w:eastAsia="zh-CN"/>
              </w:rPr>
              <w:t>The requirements defined for FR2-NTN apply for HD-FDD VSAT operating in cells with FR1-NTN numerology.</w:t>
            </w:r>
          </w:p>
        </w:tc>
      </w:tr>
    </w:tbl>
    <w:p>
      <w:pPr>
        <w:numPr>
          <w:ilvl w:val="-1"/>
          <w:numId w:val="0"/>
        </w:numPr>
        <w:spacing w:beforeLines="50" w:after="0" w:afterLines="50"/>
        <w:jc w:val="both"/>
        <w:rPr>
          <w:rFonts w:hint="default" w:eastAsia="宋体"/>
          <w:b/>
          <w:bCs/>
          <w:sz w:val="22"/>
          <w:szCs w:val="22"/>
          <w:lang w:val="en-US" w:eastAsia="zh-CN"/>
        </w:rPr>
      </w:pPr>
    </w:p>
    <w:p>
      <w:pPr>
        <w:pStyle w:val="4"/>
        <w:jc w:val="both"/>
        <w:rPr>
          <w:rFonts w:hint="default"/>
          <w:sz w:val="22"/>
          <w:szCs w:val="16"/>
          <w:lang w:val="en-US" w:eastAsia="zh-CN"/>
        </w:rPr>
      </w:pPr>
      <w:r>
        <w:rPr>
          <w:rFonts w:hint="eastAsia"/>
          <w:sz w:val="22"/>
          <w:szCs w:val="16"/>
          <w:lang w:val="en-US" w:eastAsia="zh-CN"/>
        </w:rPr>
        <w:t>2.2 Handover and conditional handover requirements</w:t>
      </w:r>
    </w:p>
    <w:p>
      <w:pPr>
        <w:numPr>
          <w:ilvl w:val="1"/>
          <w:numId w:val="0"/>
        </w:numPr>
        <w:spacing w:beforeLines="50" w:after="0" w:afterLines="50"/>
        <w:jc w:val="both"/>
        <w:rPr>
          <w:rFonts w:hint="default" w:eastAsia="宋体"/>
          <w:sz w:val="22"/>
          <w:szCs w:val="22"/>
          <w:vertAlign w:val="baseline"/>
          <w:lang w:val="en-US" w:eastAsia="zh-CN"/>
        </w:rPr>
      </w:pPr>
      <w:r>
        <w:rPr>
          <w:rFonts w:hint="eastAsia" w:eastAsia="宋体"/>
          <w:sz w:val="22"/>
          <w:szCs w:val="22"/>
          <w:lang w:val="en-US" w:eastAsia="zh-CN"/>
        </w:rPr>
        <w:t>For handover and satellite switch, the main focus is on whether to capture the applicability conditions used in legacy RedCap TN in CR, the latest agreements could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sz w:val="20"/>
                <w:szCs w:val="20"/>
                <w:lang w:val="sv-SE" w:eastAsia="zh-CN"/>
              </w:rPr>
            </w:pPr>
            <w:r>
              <w:rPr>
                <w:rFonts w:hint="default"/>
                <w:sz w:val="20"/>
                <w:szCs w:val="20"/>
                <w:lang w:val="sv-SE" w:eastAsia="zh-CN"/>
              </w:rPr>
              <w:t>Agreement</w:t>
            </w:r>
          </w:p>
          <w:p>
            <w:pPr>
              <w:pStyle w:val="74"/>
              <w:keepNext w:val="0"/>
              <w:keepLines w:val="0"/>
              <w:widowControl/>
              <w:numPr>
                <w:ilvl w:val="0"/>
                <w:numId w:val="8"/>
              </w:numPr>
              <w:suppressLineNumbers w:val="0"/>
              <w:spacing w:before="0" w:beforeAutospacing="0" w:after="120" w:afterAutospacing="0"/>
              <w:ind w:right="0" w:firstLineChars="0"/>
              <w:textAlignment w:val="auto"/>
              <w:rPr>
                <w:rFonts w:hint="default"/>
                <w:bCs/>
                <w:shd w:val="pct10" w:color="auto" w:fill="FFFFFF"/>
              </w:rPr>
            </w:pPr>
            <w:r>
              <w:rPr>
                <w:rFonts w:hint="default"/>
              </w:rPr>
              <w:t xml:space="preserve">For HD-FDD VSAT, reuse the existing handover, conditional handover, satellite switch requirements defined for NTN VSAT </w:t>
            </w:r>
          </w:p>
          <w:p>
            <w:pPr>
              <w:pStyle w:val="74"/>
              <w:keepNext w:val="0"/>
              <w:keepLines w:val="0"/>
              <w:widowControl/>
              <w:numPr>
                <w:ilvl w:val="0"/>
                <w:numId w:val="8"/>
              </w:numPr>
              <w:suppressLineNumbers w:val="0"/>
              <w:spacing w:before="0" w:beforeAutospacing="0" w:after="120" w:afterAutospacing="0"/>
              <w:ind w:right="0" w:firstLineChars="0"/>
              <w:textAlignment w:val="auto"/>
              <w:rPr>
                <w:rFonts w:hint="default"/>
              </w:rPr>
            </w:pPr>
            <w:r>
              <w:rPr>
                <w:rFonts w:hint="default"/>
              </w:rPr>
              <w:t>FFS whether to capture the following applicability conditions in CR</w:t>
            </w:r>
          </w:p>
          <w:p>
            <w:pPr>
              <w:pStyle w:val="74"/>
              <w:keepNext w:val="0"/>
              <w:keepLines w:val="0"/>
              <w:widowControl/>
              <w:numPr>
                <w:ilvl w:val="1"/>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 xml:space="preserve">For RACH-based HO, </w:t>
            </w:r>
          </w:p>
          <w:p>
            <w:pPr>
              <w:pStyle w:val="74"/>
              <w:keepNext w:val="0"/>
              <w:keepLines w:val="0"/>
              <w:widowControl/>
              <w:numPr>
                <w:ilvl w:val="2"/>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SSB is available at the UE once every SMTC period during Tsearch</w:t>
            </w:r>
          </w:p>
          <w:p>
            <w:pPr>
              <w:pStyle w:val="74"/>
              <w:keepNext w:val="0"/>
              <w:keepLines w:val="0"/>
              <w:widowControl/>
              <w:numPr>
                <w:ilvl w:val="2"/>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One SSB is available during T</w:t>
            </w:r>
            <w:r>
              <w:rPr>
                <w:rFonts w:hint="default"/>
                <w:vertAlign w:val="subscript"/>
                <w:lang w:val="en-US" w:eastAsia="zh-CN"/>
              </w:rPr>
              <w:t>∆</w:t>
            </w:r>
          </w:p>
          <w:p>
            <w:pPr>
              <w:pStyle w:val="74"/>
              <w:keepNext w:val="0"/>
              <w:keepLines w:val="0"/>
              <w:widowControl/>
              <w:numPr>
                <w:ilvl w:val="2"/>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One SSB is available during T</w:t>
            </w:r>
            <w:r>
              <w:rPr>
                <w:rFonts w:hint="default"/>
                <w:vertAlign w:val="subscript"/>
                <w:lang w:val="en-US" w:eastAsia="zh-CN"/>
              </w:rPr>
              <w:t>IU</w:t>
            </w:r>
          </w:p>
          <w:p>
            <w:pPr>
              <w:pStyle w:val="74"/>
              <w:keepNext w:val="0"/>
              <w:keepLines w:val="0"/>
              <w:widowControl/>
              <w:numPr>
                <w:ilvl w:val="1"/>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 xml:space="preserve">For Time/location-based CHO, </w:t>
            </w:r>
          </w:p>
          <w:p>
            <w:pPr>
              <w:pStyle w:val="74"/>
              <w:keepNext w:val="0"/>
              <w:keepLines w:val="0"/>
              <w:widowControl/>
              <w:numPr>
                <w:ilvl w:val="2"/>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One SSB is available during T</w:t>
            </w:r>
            <w:r>
              <w:rPr>
                <w:rFonts w:hint="default"/>
                <w:vertAlign w:val="subscript"/>
                <w:lang w:val="en-US" w:eastAsia="zh-CN"/>
              </w:rPr>
              <w:t>∆</w:t>
            </w:r>
          </w:p>
          <w:p>
            <w:pPr>
              <w:pStyle w:val="74"/>
              <w:keepNext w:val="0"/>
              <w:keepLines w:val="0"/>
              <w:widowControl/>
              <w:numPr>
                <w:ilvl w:val="2"/>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One SSB is available during T</w:t>
            </w:r>
            <w:r>
              <w:rPr>
                <w:rFonts w:hint="default"/>
                <w:vertAlign w:val="subscript"/>
                <w:lang w:val="en-US" w:eastAsia="zh-CN"/>
              </w:rPr>
              <w:t>IU</w:t>
            </w:r>
          </w:p>
          <w:p>
            <w:pPr>
              <w:pStyle w:val="74"/>
              <w:keepNext w:val="0"/>
              <w:keepLines w:val="0"/>
              <w:widowControl/>
              <w:numPr>
                <w:ilvl w:val="1"/>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 xml:space="preserve">For satellite switching requirements,  </w:t>
            </w:r>
          </w:p>
          <w:p>
            <w:pPr>
              <w:pStyle w:val="74"/>
              <w:keepNext w:val="0"/>
              <w:keepLines w:val="0"/>
              <w:widowControl/>
              <w:numPr>
                <w:ilvl w:val="2"/>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SSB is available at the UE once every SMTC period during T</w:t>
            </w:r>
            <w:r>
              <w:rPr>
                <w:rFonts w:hint="default"/>
                <w:vertAlign w:val="subscript"/>
                <w:lang w:val="en-US" w:eastAsia="zh-CN"/>
              </w:rPr>
              <w:t>search</w:t>
            </w:r>
          </w:p>
          <w:p>
            <w:pPr>
              <w:pStyle w:val="74"/>
              <w:keepNext w:val="0"/>
              <w:keepLines w:val="0"/>
              <w:widowControl/>
              <w:numPr>
                <w:ilvl w:val="2"/>
                <w:numId w:val="8"/>
              </w:numPr>
              <w:suppressLineNumbers w:val="0"/>
              <w:spacing w:before="120" w:beforeLines="50" w:beforeAutospacing="0" w:after="120" w:afterLines="50" w:afterAutospacing="0"/>
              <w:ind w:right="0" w:firstLineChars="0"/>
              <w:jc w:val="both"/>
              <w:textAlignment w:val="auto"/>
              <w:rPr>
                <w:rFonts w:hint="default"/>
                <w:lang w:val="en-US" w:eastAsia="zh-CN"/>
              </w:rPr>
            </w:pPr>
            <w:r>
              <w:rPr>
                <w:rFonts w:hint="default"/>
                <w:lang w:val="en-US" w:eastAsia="zh-CN"/>
              </w:rPr>
              <w:t>One SSB is available during T</w:t>
            </w:r>
            <w:r>
              <w:rPr>
                <w:rFonts w:hint="default"/>
                <w:vertAlign w:val="subscript"/>
                <w:lang w:val="en-US" w:eastAsia="zh-CN"/>
              </w:rPr>
              <w:t>∆</w:t>
            </w:r>
          </w:p>
          <w:p>
            <w:pPr>
              <w:pStyle w:val="74"/>
              <w:keepNext w:val="0"/>
              <w:keepLines w:val="0"/>
              <w:widowControl/>
              <w:numPr>
                <w:ilvl w:val="2"/>
                <w:numId w:val="8"/>
              </w:numPr>
              <w:suppressLineNumbers w:val="0"/>
              <w:spacing w:before="120" w:beforeLines="50" w:beforeAutospacing="0" w:after="120" w:afterLines="50" w:afterAutospacing="0"/>
              <w:ind w:right="0" w:firstLineChars="0"/>
              <w:jc w:val="both"/>
              <w:textAlignment w:val="auto"/>
              <w:rPr>
                <w:rFonts w:hint="default" w:eastAsia="宋体"/>
                <w:sz w:val="22"/>
                <w:szCs w:val="22"/>
                <w:vertAlign w:val="baseline"/>
                <w:lang w:val="en-US" w:eastAsia="zh-CN"/>
              </w:rPr>
            </w:pPr>
            <w:r>
              <w:rPr>
                <w:rFonts w:hint="default"/>
                <w:lang w:val="en-US" w:eastAsia="zh-CN"/>
              </w:rPr>
              <w:t>One SSB is available during T</w:t>
            </w:r>
            <w:r>
              <w:rPr>
                <w:rFonts w:hint="default"/>
                <w:vertAlign w:val="subscript"/>
                <w:lang w:val="en-US" w:eastAsia="zh-CN"/>
              </w:rPr>
              <w:t>IU</w:t>
            </w:r>
          </w:p>
        </w:tc>
      </w:tr>
    </w:tbl>
    <w:p>
      <w:pPr>
        <w:numPr>
          <w:ilvl w:val="1"/>
          <w:numId w:val="0"/>
        </w:numPr>
        <w:spacing w:beforeLines="50" w:after="0" w:afterLines="50"/>
        <w:jc w:val="both"/>
        <w:rPr>
          <w:rFonts w:hint="eastAsia" w:eastAsia="宋体" w:cs="Times New Roman"/>
          <w:bCs/>
          <w:sz w:val="22"/>
          <w:szCs w:val="22"/>
          <w:highlight w:val="none"/>
          <w:lang w:val="en-US" w:eastAsia="zh-CN"/>
        </w:rPr>
      </w:pPr>
      <w:r>
        <w:rPr>
          <w:rFonts w:hint="eastAsia" w:eastAsia="宋体"/>
          <w:sz w:val="22"/>
          <w:szCs w:val="22"/>
          <w:lang w:val="en-US" w:eastAsia="zh-CN"/>
        </w:rPr>
        <w:t xml:space="preserve">There is a note in WID, which specifies </w:t>
      </w:r>
      <w:r>
        <w:rPr>
          <w:rFonts w:hint="default" w:ascii="Times New Roman" w:hAnsi="Times New Roman" w:cs="Times New Roman"/>
          <w:bCs/>
          <w:sz w:val="22"/>
          <w:szCs w:val="22"/>
          <w:highlight w:val="none"/>
          <w:lang w:val="en-US"/>
        </w:rPr>
        <w:t xml:space="preserve">RedCap NTN HD-FDD solution </w:t>
      </w:r>
      <w:r>
        <w:rPr>
          <w:rFonts w:hint="eastAsia" w:eastAsia="宋体" w:cs="Times New Roman"/>
          <w:bCs/>
          <w:sz w:val="22"/>
          <w:szCs w:val="22"/>
          <w:highlight w:val="none"/>
          <w:lang w:val="en-US" w:eastAsia="zh-CN"/>
        </w:rPr>
        <w:t>shall be considered when discussing</w:t>
      </w:r>
      <w:r>
        <w:rPr>
          <w:rFonts w:hint="default" w:ascii="Times New Roman" w:hAnsi="Times New Roman" w:cs="Times New Roman"/>
          <w:bCs/>
          <w:sz w:val="22"/>
          <w:szCs w:val="22"/>
          <w:highlight w:val="none"/>
          <w:lang w:val="en-US"/>
        </w:rPr>
        <w:t xml:space="preserve"> NTN HD-FDD VSAT as applicable.</w:t>
      </w:r>
      <w:r>
        <w:rPr>
          <w:rFonts w:hint="eastAsia" w:eastAsia="宋体" w:cs="Times New Roman"/>
          <w:bCs/>
          <w:sz w:val="22"/>
          <w:szCs w:val="22"/>
          <w:highlight w:val="none"/>
          <w:lang w:val="en-US" w:eastAsia="zh-CN"/>
        </w:rPr>
        <w:t xml:space="preserve"> In RedCap NTN HD-FDD WI discussed in R19, since RAN1 has already agreed if SSB collides with UL signals, the SSB owns the high priority instead of dropping it. Thus, RAN4 did not capture the above applicability rules into spec, otherwise, it may contracts with RAN1 agreements.</w:t>
      </w:r>
    </w:p>
    <w:p>
      <w:pPr>
        <w:numPr>
          <w:ilvl w:val="1"/>
          <w:numId w:val="0"/>
        </w:numPr>
        <w:spacing w:beforeLines="50" w:after="0" w:afterLines="50"/>
        <w:jc w:val="both"/>
        <w:rPr>
          <w:rFonts w:hint="default" w:ascii="Times New Roman" w:hAnsi="Times New Roman" w:cs="Times New Roman"/>
          <w:b/>
          <w:bCs w:val="0"/>
          <w:sz w:val="22"/>
          <w:szCs w:val="22"/>
          <w:highlight w:val="none"/>
          <w:lang w:val="en-US"/>
        </w:rPr>
      </w:pPr>
      <w:r>
        <w:rPr>
          <w:rFonts w:hint="eastAsia" w:eastAsia="宋体" w:cs="Times New Roman"/>
          <w:b/>
          <w:bCs w:val="0"/>
          <w:sz w:val="22"/>
          <w:szCs w:val="22"/>
          <w:highlight w:val="none"/>
          <w:lang w:val="en-US" w:eastAsia="zh-CN"/>
        </w:rPr>
        <w:t xml:space="preserve">Observation 1: </w:t>
      </w:r>
      <w:r>
        <w:rPr>
          <w:rFonts w:hint="default" w:ascii="Times New Roman" w:hAnsi="Times New Roman" w:cs="Times New Roman"/>
          <w:b/>
          <w:bCs w:val="0"/>
          <w:sz w:val="22"/>
          <w:szCs w:val="22"/>
          <w:highlight w:val="none"/>
          <w:lang w:val="en-US"/>
        </w:rPr>
        <w:t>Leverage RedCap NTN HD-FDD solution to NTN HD-FDD VSAT as applicable.</w:t>
      </w:r>
    </w:p>
    <w:p>
      <w:pPr>
        <w:numPr>
          <w:ilvl w:val="1"/>
          <w:numId w:val="0"/>
        </w:numPr>
        <w:spacing w:beforeLines="50" w:after="0" w:afterLines="50"/>
        <w:jc w:val="both"/>
        <w:rPr>
          <w:rFonts w:hint="default" w:ascii="Times New Roman" w:hAnsi="Times New Roman" w:eastAsia="宋体" w:cs="Times New Roman"/>
          <w:bCs/>
          <w:sz w:val="22"/>
          <w:szCs w:val="22"/>
          <w:highlight w:val="none"/>
          <w:lang w:val="en-US" w:eastAsia="zh-CN"/>
        </w:rPr>
      </w:pPr>
      <w:r>
        <w:rPr>
          <w:rFonts w:hint="eastAsia" w:eastAsia="宋体" w:cs="Times New Roman"/>
          <w:b/>
          <w:bCs w:val="0"/>
          <w:sz w:val="22"/>
          <w:szCs w:val="22"/>
          <w:highlight w:val="none"/>
          <w:lang w:val="en-US" w:eastAsia="zh-CN"/>
        </w:rPr>
        <w:t>Proposal 2: RAN4 shall not capture any requirements applicability rules for HD-FDD VSAT UE in NTN scenario.</w:t>
      </w:r>
    </w:p>
    <w:p>
      <w:pPr>
        <w:pStyle w:val="4"/>
        <w:jc w:val="both"/>
        <w:rPr>
          <w:rFonts w:hint="eastAsia"/>
          <w:sz w:val="22"/>
          <w:szCs w:val="16"/>
          <w:lang w:val="en-US" w:eastAsia="zh-CN"/>
        </w:rPr>
      </w:pPr>
      <w:r>
        <w:rPr>
          <w:rFonts w:hint="eastAsia"/>
          <w:sz w:val="22"/>
          <w:szCs w:val="16"/>
          <w:lang w:val="en-US" w:eastAsia="zh-CN"/>
        </w:rPr>
        <w:t>2.3 Scheduling availability</w:t>
      </w:r>
    </w:p>
    <w:p>
      <w:pPr>
        <w:numPr>
          <w:ilvl w:val="1"/>
          <w:numId w:val="0"/>
        </w:numPr>
        <w:spacing w:beforeLines="50" w:after="0" w:afterLines="50"/>
        <w:jc w:val="both"/>
        <w:rPr>
          <w:rFonts w:hint="default" w:eastAsia="宋体" w:cs="Times New Roman"/>
          <w:bCs/>
          <w:sz w:val="22"/>
          <w:szCs w:val="22"/>
          <w:highlight w:val="none"/>
          <w:lang w:val="en-US" w:eastAsia="zh-CN"/>
        </w:rPr>
      </w:pPr>
      <w:r>
        <w:rPr>
          <w:rFonts w:hint="eastAsia" w:eastAsia="宋体" w:cs="Times New Roman"/>
          <w:bCs/>
          <w:sz w:val="22"/>
          <w:szCs w:val="22"/>
          <w:highlight w:val="none"/>
          <w:lang w:val="en-US" w:eastAsia="zh-CN"/>
        </w:rPr>
        <w:t>During discussion in R19 RedCap NTN WI, RAN4 agreed the scheduling restriction based on RAN1 agreement, the following scheduling restriction could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2" w:type="dxa"/>
          </w:tcPr>
          <w:p>
            <w:pPr>
              <w:keepNext w:val="0"/>
              <w:keepLines w:val="0"/>
              <w:widowControl/>
              <w:suppressLineNumbers w:val="0"/>
              <w:snapToGrid w:val="0"/>
              <w:spacing w:before="0" w:beforeAutospacing="0" w:after="120" w:afterAutospacing="0"/>
              <w:ind w:left="0" w:right="0"/>
              <w:rPr>
                <w:rFonts w:hint="default" w:eastAsia="等线"/>
                <w:iCs/>
                <w:sz w:val="20"/>
                <w:szCs w:val="21"/>
                <w:highlight w:val="green"/>
              </w:rPr>
            </w:pPr>
            <w:r>
              <w:rPr>
                <w:rFonts w:hint="eastAsia" w:eastAsia="等线"/>
                <w:iCs/>
                <w:sz w:val="20"/>
                <w:szCs w:val="21"/>
                <w:highlight w:val="green"/>
              </w:rPr>
              <w:t>A</w:t>
            </w:r>
            <w:r>
              <w:rPr>
                <w:rFonts w:hint="default" w:eastAsia="等线"/>
                <w:iCs/>
                <w:sz w:val="20"/>
                <w:szCs w:val="21"/>
                <w:highlight w:val="green"/>
              </w:rPr>
              <w:t>greement:</w:t>
            </w:r>
          </w:p>
          <w:p>
            <w:pPr>
              <w:pStyle w:val="74"/>
              <w:keepNext w:val="0"/>
              <w:keepLines w:val="0"/>
              <w:widowControl/>
              <w:numPr>
                <w:ilvl w:val="0"/>
                <w:numId w:val="9"/>
              </w:numPr>
              <w:suppressLineNumbers w:val="0"/>
              <w:overflowPunct/>
              <w:autoSpaceDE/>
              <w:autoSpaceDN/>
              <w:adjustRightInd/>
              <w:spacing w:before="0" w:beforeAutospacing="0" w:after="120" w:afterAutospacing="0"/>
              <w:ind w:left="720" w:right="0"/>
              <w:contextualSpacing w:val="0"/>
              <w:textAlignment w:val="auto"/>
              <w:rPr>
                <w:rFonts w:hint="default"/>
                <w:szCs w:val="21"/>
                <w:highlight w:val="green"/>
              </w:rPr>
            </w:pPr>
            <w:r>
              <w:rPr>
                <w:rFonts w:hint="default"/>
                <w:szCs w:val="21"/>
                <w:highlight w:val="green"/>
              </w:rPr>
              <w:t>The legacy requirements and applicable conditions can be reused as baseline:</w:t>
            </w:r>
          </w:p>
          <w:p>
            <w:pPr>
              <w:pStyle w:val="74"/>
              <w:keepNext w:val="0"/>
              <w:keepLines w:val="0"/>
              <w:widowControl/>
              <w:numPr>
                <w:ilvl w:val="2"/>
                <w:numId w:val="9"/>
              </w:numPr>
              <w:suppressLineNumbers w:val="0"/>
              <w:overflowPunct/>
              <w:autoSpaceDE/>
              <w:autoSpaceDN/>
              <w:adjustRightInd/>
              <w:snapToGrid w:val="0"/>
              <w:spacing w:before="0" w:beforeAutospacing="0" w:after="120" w:afterAutospacing="0"/>
              <w:ind w:left="1637" w:right="0" w:hanging="357"/>
              <w:contextualSpacing w:val="0"/>
              <w:textAlignment w:val="auto"/>
              <w:rPr>
                <w:rFonts w:hint="default" w:eastAsia="等线"/>
                <w:iCs/>
                <w:szCs w:val="21"/>
                <w:highlight w:val="green"/>
              </w:rPr>
            </w:pPr>
            <w:r>
              <w:rPr>
                <w:rFonts w:hint="default" w:eastAsia="等线"/>
                <w:iCs/>
                <w:szCs w:val="21"/>
                <w:highlight w:val="green"/>
              </w:rPr>
              <w:t>Paging reception requirements in RRC_IDLE/ RRC_INACTIVE state</w:t>
            </w:r>
          </w:p>
          <w:p>
            <w:pPr>
              <w:pStyle w:val="74"/>
              <w:keepNext w:val="0"/>
              <w:keepLines w:val="0"/>
              <w:widowControl/>
              <w:numPr>
                <w:ilvl w:val="2"/>
                <w:numId w:val="9"/>
              </w:numPr>
              <w:suppressLineNumbers w:val="0"/>
              <w:overflowPunct/>
              <w:autoSpaceDE/>
              <w:autoSpaceDN/>
              <w:adjustRightInd/>
              <w:snapToGrid w:val="0"/>
              <w:spacing w:before="0" w:beforeAutospacing="0" w:after="120" w:afterAutospacing="0"/>
              <w:ind w:left="1637" w:right="0" w:hanging="357"/>
              <w:contextualSpacing w:val="0"/>
              <w:textAlignment w:val="auto"/>
              <w:rPr>
                <w:rFonts w:hint="default" w:eastAsia="等线"/>
                <w:iCs/>
                <w:szCs w:val="21"/>
                <w:highlight w:val="green"/>
              </w:rPr>
            </w:pPr>
            <w:r>
              <w:rPr>
                <w:rFonts w:hint="default" w:eastAsia="等线"/>
                <w:iCs/>
                <w:szCs w:val="21"/>
                <w:highlight w:val="green"/>
              </w:rPr>
              <w:t>Random access</w:t>
            </w:r>
          </w:p>
          <w:p>
            <w:pPr>
              <w:pStyle w:val="74"/>
              <w:keepNext w:val="0"/>
              <w:keepLines w:val="0"/>
              <w:widowControl/>
              <w:numPr>
                <w:ilvl w:val="2"/>
                <w:numId w:val="9"/>
              </w:numPr>
              <w:suppressLineNumbers w:val="0"/>
              <w:overflowPunct/>
              <w:autoSpaceDE/>
              <w:autoSpaceDN/>
              <w:adjustRightInd/>
              <w:snapToGrid w:val="0"/>
              <w:spacing w:before="0" w:beforeAutospacing="0" w:after="120" w:afterAutospacing="0"/>
              <w:ind w:left="1637" w:right="0" w:hanging="357"/>
              <w:contextualSpacing w:val="0"/>
              <w:textAlignment w:val="auto"/>
              <w:rPr>
                <w:rFonts w:hint="default" w:eastAsia="等线"/>
                <w:iCs/>
                <w:szCs w:val="21"/>
                <w:highlight w:val="green"/>
              </w:rPr>
            </w:pPr>
            <w:r>
              <w:rPr>
                <w:rFonts w:hint="default" w:eastAsia="等线"/>
                <w:iCs/>
                <w:szCs w:val="21"/>
                <w:highlight w:val="green"/>
              </w:rPr>
              <w:t>SA: RRC Connection Release with Redirection</w:t>
            </w:r>
          </w:p>
          <w:p>
            <w:pPr>
              <w:pStyle w:val="74"/>
              <w:keepNext w:val="0"/>
              <w:keepLines w:val="0"/>
              <w:widowControl/>
              <w:numPr>
                <w:ilvl w:val="2"/>
                <w:numId w:val="9"/>
              </w:numPr>
              <w:suppressLineNumbers w:val="0"/>
              <w:overflowPunct/>
              <w:autoSpaceDE/>
              <w:autoSpaceDN/>
              <w:adjustRightInd/>
              <w:snapToGrid w:val="0"/>
              <w:spacing w:before="0" w:beforeAutospacing="0" w:after="120" w:afterAutospacing="0"/>
              <w:ind w:left="1637" w:right="0" w:hanging="357"/>
              <w:contextualSpacing w:val="0"/>
              <w:textAlignment w:val="auto"/>
              <w:rPr>
                <w:rFonts w:hint="default" w:eastAsia="等线"/>
                <w:iCs/>
                <w:szCs w:val="21"/>
                <w:highlight w:val="green"/>
              </w:rPr>
            </w:pPr>
            <w:r>
              <w:rPr>
                <w:rFonts w:hint="default" w:eastAsia="等线"/>
                <w:iCs/>
                <w:szCs w:val="21"/>
                <w:highlight w:val="green"/>
              </w:rPr>
              <w:t>Scheduling availability of UE performing intra/inter measurements</w:t>
            </w:r>
          </w:p>
          <w:p>
            <w:pPr>
              <w:pStyle w:val="5"/>
              <w:widowControl/>
              <w:numPr>
                <w:ilvl w:val="0"/>
                <w:numId w:val="0"/>
              </w:numPr>
              <w:suppressLineNumbers w:val="0"/>
              <w:spacing w:beforeAutospacing="0" w:after="120" w:afterAutospacing="0"/>
              <w:ind w:left="864" w:right="0" w:hanging="864"/>
              <w:rPr>
                <w:rFonts w:hint="default" w:ascii="Times New Roman" w:hAnsi="Times New Roman"/>
                <w:sz w:val="20"/>
                <w:szCs w:val="20"/>
                <w:u w:val="single"/>
                <w:lang w:eastAsia="ko-KR"/>
              </w:rPr>
            </w:pPr>
            <w:r>
              <w:rPr>
                <w:rFonts w:hint="default" w:ascii="Times New Roman" w:hAnsi="Times New Roman"/>
                <w:sz w:val="20"/>
                <w:szCs w:val="20"/>
                <w:u w:val="single"/>
                <w:lang w:eastAsia="ko-KR"/>
              </w:rPr>
              <w:t>The impact of HD-FDD on intra/inter measurements</w:t>
            </w:r>
          </w:p>
          <w:p>
            <w:pPr>
              <w:keepNext w:val="0"/>
              <w:keepLines w:val="0"/>
              <w:widowControl/>
              <w:suppressLineNumbers w:val="0"/>
              <w:snapToGrid w:val="0"/>
              <w:spacing w:before="0" w:beforeAutospacing="0" w:after="120" w:afterAutospacing="0"/>
              <w:ind w:left="0" w:right="0"/>
              <w:rPr>
                <w:rFonts w:hint="default"/>
                <w:sz w:val="21"/>
                <w:szCs w:val="21"/>
                <w:highlight w:val="green"/>
              </w:rPr>
            </w:pPr>
            <w:r>
              <w:rPr>
                <w:rFonts w:hint="default"/>
                <w:sz w:val="21"/>
                <w:szCs w:val="21"/>
                <w:highlight w:val="green"/>
              </w:rPr>
              <w:t xml:space="preserve">Agreement: </w:t>
            </w:r>
          </w:p>
          <w:p>
            <w:pPr>
              <w:pStyle w:val="74"/>
              <w:keepNext w:val="0"/>
              <w:keepLines w:val="0"/>
              <w:widowControl/>
              <w:numPr>
                <w:ilvl w:val="0"/>
                <w:numId w:val="9"/>
              </w:numPr>
              <w:suppressLineNumbers w:val="0"/>
              <w:overflowPunct/>
              <w:autoSpaceDE/>
              <w:adjustRightInd/>
              <w:snapToGrid w:val="0"/>
              <w:spacing w:before="0" w:beforeAutospacing="0" w:after="120" w:afterAutospacing="0"/>
              <w:ind w:left="720" w:right="0"/>
              <w:contextualSpacing w:val="0"/>
              <w:textAlignment w:val="auto"/>
              <w:rPr>
                <w:rFonts w:hint="default"/>
                <w:iCs/>
                <w:sz w:val="21"/>
                <w:szCs w:val="21"/>
                <w:highlight w:val="green"/>
              </w:rPr>
            </w:pPr>
            <w:r>
              <w:rPr>
                <w:rFonts w:hint="default"/>
                <w:iCs/>
                <w:sz w:val="21"/>
                <w:szCs w:val="21"/>
                <w:highlight w:val="green"/>
              </w:rPr>
              <w:t>For scheduling availability of UE performing intra/inter measurements, the existing principle can be reused, regardless of the network indication.</w:t>
            </w:r>
          </w:p>
          <w:p>
            <w:pPr>
              <w:keepNext w:val="0"/>
              <w:keepLines w:val="0"/>
              <w:widowControl/>
              <w:suppressLineNumbers w:val="0"/>
              <w:overflowPunct/>
              <w:autoSpaceDE/>
              <w:autoSpaceDN/>
              <w:adjustRightInd/>
              <w:snapToGrid w:val="0"/>
              <w:spacing w:before="0" w:beforeAutospacing="0" w:after="120" w:afterAutospacing="0"/>
              <w:ind w:left="0" w:right="0"/>
              <w:textAlignment w:val="auto"/>
              <w:rPr>
                <w:rFonts w:hint="default" w:eastAsia="等线"/>
                <w:iCs/>
                <w:sz w:val="20"/>
                <w:szCs w:val="21"/>
                <w:highlight w:val="green"/>
                <w:lang w:val="zh-CN"/>
              </w:rPr>
            </w:pPr>
          </w:p>
          <w:p>
            <w:pPr>
              <w:keepNext w:val="0"/>
              <w:keepLines w:val="0"/>
              <w:widowControl/>
              <w:suppressLineNumbers w:val="0"/>
              <w:overflowPunct/>
              <w:autoSpaceDE/>
              <w:autoSpaceDN/>
              <w:adjustRightInd/>
              <w:snapToGrid w:val="0"/>
              <w:spacing w:before="0" w:beforeAutospacing="0" w:after="120" w:afterAutospacing="0"/>
              <w:ind w:left="0" w:right="0"/>
              <w:textAlignment w:val="auto"/>
              <w:rPr>
                <w:rFonts w:hint="default" w:eastAsia="等线"/>
                <w:iCs/>
                <w:sz w:val="20"/>
                <w:szCs w:val="21"/>
                <w:highlight w:val="green"/>
                <w:lang w:val="zh-CN"/>
              </w:rPr>
            </w:pPr>
            <w:r>
              <w:rPr>
                <w:rFonts w:hint="default"/>
                <w:sz w:val="20"/>
                <w:szCs w:val="20"/>
                <w:u w:val="single"/>
                <w:lang w:eastAsia="ko-KR"/>
              </w:rPr>
              <w:t>scheduling availability</w:t>
            </w:r>
            <w:r>
              <w:rPr>
                <w:rFonts w:hint="eastAsia"/>
                <w:sz w:val="20"/>
                <w:szCs w:val="20"/>
                <w:u w:val="single"/>
                <w:lang w:eastAsia="ko-KR"/>
              </w:rPr>
              <w:t xml:space="preserve"> </w:t>
            </w:r>
            <w:r>
              <w:rPr>
                <w:rFonts w:hint="default"/>
                <w:sz w:val="20"/>
                <w:szCs w:val="20"/>
                <w:u w:val="single"/>
                <w:lang w:eastAsia="ko-KR"/>
              </w:rPr>
              <w:t>of UE related to CSI-RS and PRS</w:t>
            </w:r>
          </w:p>
          <w:p>
            <w:pPr>
              <w:keepNext w:val="0"/>
              <w:keepLines w:val="0"/>
              <w:widowControl/>
              <w:suppressLineNumbers w:val="0"/>
              <w:snapToGrid w:val="0"/>
              <w:spacing w:before="0" w:beforeAutospacing="0" w:after="120" w:afterAutospacing="0"/>
              <w:ind w:left="0" w:right="0"/>
              <w:rPr>
                <w:rFonts w:hint="default" w:eastAsia="等线"/>
                <w:iCs/>
                <w:sz w:val="20"/>
                <w:szCs w:val="21"/>
                <w:highlight w:val="green"/>
              </w:rPr>
            </w:pPr>
            <w:bookmarkStart w:id="9" w:name="OLE_LINK71"/>
            <w:bookmarkStart w:id="10" w:name="OLE_LINK72"/>
            <w:bookmarkStart w:id="11" w:name="OLE_LINK70"/>
            <w:r>
              <w:rPr>
                <w:rFonts w:hint="default" w:eastAsia="等线"/>
                <w:iCs/>
                <w:sz w:val="20"/>
                <w:szCs w:val="21"/>
                <w:highlight w:val="green"/>
              </w:rPr>
              <w:t xml:space="preserve">Agreement </w:t>
            </w:r>
            <w:r>
              <w:rPr>
                <w:rFonts w:hint="eastAsia" w:eastAsia="等线"/>
                <w:iCs/>
                <w:sz w:val="20"/>
                <w:szCs w:val="21"/>
                <w:highlight w:val="green"/>
              </w:rPr>
              <w:t>:</w:t>
            </w:r>
          </w:p>
          <w:p>
            <w:pPr>
              <w:pStyle w:val="74"/>
              <w:keepNext w:val="0"/>
              <w:keepLines w:val="0"/>
              <w:widowControl/>
              <w:numPr>
                <w:ilvl w:val="0"/>
                <w:numId w:val="9"/>
              </w:numPr>
              <w:suppressLineNumbers w:val="0"/>
              <w:overflowPunct/>
              <w:autoSpaceDE/>
              <w:adjustRightInd/>
              <w:snapToGrid w:val="0"/>
              <w:spacing w:before="0" w:beforeAutospacing="0" w:after="120" w:afterAutospacing="0"/>
              <w:ind w:left="720" w:right="0"/>
              <w:contextualSpacing w:val="0"/>
              <w:textAlignment w:val="auto"/>
              <w:rPr>
                <w:rFonts w:hint="default"/>
                <w:iCs/>
                <w:sz w:val="21"/>
                <w:szCs w:val="21"/>
                <w:highlight w:val="green"/>
              </w:rPr>
            </w:pPr>
            <w:r>
              <w:rPr>
                <w:rFonts w:hint="default"/>
                <w:iCs/>
                <w:sz w:val="21"/>
                <w:szCs w:val="21"/>
                <w:highlight w:val="green"/>
              </w:rPr>
              <w:t>When NW indicates UL overriding DL for collision handling,</w:t>
            </w:r>
          </w:p>
          <w:p>
            <w:pPr>
              <w:pStyle w:val="74"/>
              <w:keepNext w:val="0"/>
              <w:keepLines w:val="0"/>
              <w:widowControl/>
              <w:numPr>
                <w:ilvl w:val="1"/>
                <w:numId w:val="9"/>
              </w:numPr>
              <w:suppressLineNumbers w:val="0"/>
              <w:overflowPunct/>
              <w:autoSpaceDE/>
              <w:autoSpaceDN/>
              <w:adjustRightInd/>
              <w:spacing w:before="0" w:beforeAutospacing="0" w:after="0" w:afterAutospacing="0"/>
              <w:ind w:right="0"/>
              <w:textAlignment w:val="auto"/>
              <w:rPr>
                <w:rFonts w:hint="default"/>
                <w:iCs/>
                <w:szCs w:val="21"/>
              </w:rPr>
            </w:pPr>
            <w:r>
              <w:rPr>
                <w:rFonts w:hint="default"/>
                <w:iCs/>
                <w:szCs w:val="21"/>
                <w:highlight w:val="green"/>
              </w:rPr>
              <w:t xml:space="preserve">RAN4 to clarify that the </w:t>
            </w:r>
            <w:r>
              <w:rPr>
                <w:rFonts w:hint="eastAsia"/>
                <w:iCs/>
                <w:szCs w:val="21"/>
                <w:highlight w:val="green"/>
                <w:lang w:eastAsia="zh-CN"/>
              </w:rPr>
              <w:t xml:space="preserve">measurement </w:t>
            </w:r>
            <w:r>
              <w:rPr>
                <w:rFonts w:hint="default"/>
                <w:iCs/>
                <w:szCs w:val="21"/>
                <w:highlight w:val="green"/>
              </w:rPr>
              <w:t xml:space="preserve">requirements for CSI-RS and PRS apply provided that </w:t>
            </w:r>
            <w:r>
              <w:rPr>
                <w:rFonts w:hint="default"/>
                <w:iCs/>
                <w:szCs w:val="21"/>
                <w:highlight w:val="green"/>
                <w:u w:val="single"/>
              </w:rPr>
              <w:t>no collision between CSI-RS &amp; PRS and UL transmission</w:t>
            </w:r>
            <w:r>
              <w:rPr>
                <w:rFonts w:hint="default"/>
                <w:iCs/>
                <w:szCs w:val="21"/>
                <w:u w:val="single"/>
              </w:rPr>
              <w:t>.</w:t>
            </w:r>
          </w:p>
          <w:p>
            <w:pPr>
              <w:pStyle w:val="74"/>
              <w:keepNext w:val="0"/>
              <w:keepLines w:val="0"/>
              <w:widowControl/>
              <w:suppressLineNumbers w:val="0"/>
              <w:spacing w:before="0" w:beforeAutospacing="0" w:after="0" w:afterAutospacing="0"/>
              <w:ind w:left="1656" w:right="0"/>
              <w:rPr>
                <w:rFonts w:hint="default"/>
                <w:iCs/>
                <w:szCs w:val="21"/>
              </w:rPr>
            </w:pPr>
          </w:p>
          <w:p>
            <w:pPr>
              <w:pStyle w:val="74"/>
              <w:keepNext w:val="0"/>
              <w:keepLines w:val="0"/>
              <w:widowControl/>
              <w:numPr>
                <w:ilvl w:val="0"/>
                <w:numId w:val="9"/>
              </w:numPr>
              <w:suppressLineNumbers w:val="0"/>
              <w:overflowPunct/>
              <w:autoSpaceDE/>
              <w:adjustRightInd/>
              <w:snapToGrid w:val="0"/>
              <w:spacing w:before="0" w:beforeAutospacing="0" w:after="120" w:afterAutospacing="0"/>
              <w:ind w:left="720" w:right="0"/>
              <w:contextualSpacing w:val="0"/>
              <w:textAlignment w:val="auto"/>
              <w:rPr>
                <w:rFonts w:hint="default"/>
                <w:iCs/>
                <w:sz w:val="21"/>
                <w:szCs w:val="21"/>
                <w:highlight w:val="green"/>
              </w:rPr>
            </w:pPr>
            <w:r>
              <w:rPr>
                <w:rFonts w:hint="default"/>
                <w:iCs/>
                <w:sz w:val="21"/>
                <w:szCs w:val="21"/>
                <w:highlight w:val="green"/>
                <w:lang w:eastAsia="zh-CN"/>
              </w:rPr>
              <w:t>Other</w:t>
            </w:r>
            <w:r>
              <w:rPr>
                <w:rFonts w:hint="default"/>
                <w:iCs/>
                <w:sz w:val="21"/>
                <w:szCs w:val="21"/>
                <w:highlight w:val="green"/>
              </w:rPr>
              <w:t>wise,</w:t>
            </w:r>
          </w:p>
          <w:p>
            <w:pPr>
              <w:pStyle w:val="74"/>
              <w:keepNext w:val="0"/>
              <w:keepLines w:val="0"/>
              <w:widowControl/>
              <w:numPr>
                <w:ilvl w:val="1"/>
                <w:numId w:val="9"/>
              </w:numPr>
              <w:suppressLineNumbers w:val="0"/>
              <w:overflowPunct/>
              <w:autoSpaceDE/>
              <w:autoSpaceDN/>
              <w:adjustRightInd/>
              <w:spacing w:before="0" w:beforeAutospacing="0" w:after="0" w:afterAutospacing="0"/>
              <w:ind w:right="0"/>
              <w:textAlignment w:val="auto"/>
              <w:rPr>
                <w:rFonts w:hint="default"/>
                <w:iCs/>
                <w:szCs w:val="21"/>
                <w:highlight w:val="green"/>
              </w:rPr>
            </w:pPr>
            <w:r>
              <w:rPr>
                <w:rFonts w:hint="default"/>
                <w:szCs w:val="21"/>
                <w:highlight w:val="green"/>
              </w:rPr>
              <w:t>CSI-RS based L1 measurement and PRS based measurement is prioritized over the UL transmission.</w:t>
            </w:r>
          </w:p>
          <w:p>
            <w:pPr>
              <w:pStyle w:val="74"/>
              <w:keepNext w:val="0"/>
              <w:keepLines w:val="0"/>
              <w:widowControl/>
              <w:numPr>
                <w:ilvl w:val="1"/>
                <w:numId w:val="9"/>
              </w:numPr>
              <w:suppressLineNumbers w:val="0"/>
              <w:overflowPunct/>
              <w:autoSpaceDE/>
              <w:autoSpaceDN/>
              <w:adjustRightInd/>
              <w:spacing w:before="0" w:beforeAutospacing="0" w:after="0" w:afterAutospacing="0"/>
              <w:ind w:right="0"/>
              <w:textAlignment w:val="auto"/>
              <w:rPr>
                <w:rFonts w:hint="default"/>
                <w:iCs/>
                <w:szCs w:val="21"/>
                <w:highlight w:val="green"/>
              </w:rPr>
            </w:pPr>
            <w:r>
              <w:rPr>
                <w:rFonts w:hint="eastAsia"/>
                <w:iCs/>
                <w:szCs w:val="21"/>
                <w:highlight w:val="green"/>
                <w:lang w:eastAsia="zh-CN"/>
              </w:rPr>
              <w:t xml:space="preserve">The </w:t>
            </w:r>
            <w:r>
              <w:rPr>
                <w:rFonts w:hint="default"/>
                <w:iCs/>
                <w:szCs w:val="21"/>
                <w:highlight w:val="green"/>
                <w:lang w:eastAsia="zh-CN"/>
              </w:rPr>
              <w:t>scheduling</w:t>
            </w:r>
            <w:r>
              <w:rPr>
                <w:rFonts w:hint="eastAsia"/>
                <w:iCs/>
                <w:szCs w:val="21"/>
                <w:highlight w:val="green"/>
                <w:lang w:eastAsia="zh-CN"/>
              </w:rPr>
              <w:t xml:space="preserve"> restriction </w:t>
            </w:r>
            <w:r>
              <w:rPr>
                <w:rFonts w:hint="default"/>
                <w:iCs/>
                <w:szCs w:val="21"/>
                <w:highlight w:val="green"/>
                <w:lang w:eastAsia="zh-CN"/>
              </w:rPr>
              <w:t>requirements</w:t>
            </w:r>
            <w:r>
              <w:rPr>
                <w:rFonts w:hint="eastAsia"/>
                <w:iCs/>
                <w:szCs w:val="21"/>
                <w:highlight w:val="green"/>
                <w:lang w:eastAsia="zh-CN"/>
              </w:rPr>
              <w:t xml:space="preserve"> for </w:t>
            </w:r>
            <w:r>
              <w:rPr>
                <w:rFonts w:hint="default"/>
                <w:highlight w:val="green"/>
                <w:lang w:eastAsia="zh-CN"/>
              </w:rPr>
              <w:t>PUCCH/PUSCH/SRS</w:t>
            </w:r>
            <w:r>
              <w:rPr>
                <w:rFonts w:hint="eastAsia"/>
                <w:iCs/>
                <w:szCs w:val="21"/>
                <w:highlight w:val="green"/>
                <w:lang w:eastAsia="zh-CN"/>
              </w:rPr>
              <w:t xml:space="preserve"> will apply.</w:t>
            </w:r>
          </w:p>
          <w:bookmarkEnd w:id="9"/>
          <w:bookmarkEnd w:id="10"/>
          <w:bookmarkEnd w:id="11"/>
          <w:p>
            <w:pPr>
              <w:keepNext w:val="0"/>
              <w:keepLines w:val="0"/>
              <w:widowControl/>
              <w:suppressLineNumbers w:val="0"/>
              <w:snapToGrid w:val="0"/>
              <w:spacing w:before="0" w:beforeAutospacing="0" w:after="120" w:afterAutospacing="0"/>
              <w:ind w:left="0" w:right="0"/>
              <w:rPr>
                <w:rFonts w:hint="default" w:eastAsia="等线"/>
                <w:sz w:val="21"/>
                <w:szCs w:val="21"/>
                <w:highlight w:val="green"/>
              </w:rPr>
            </w:pPr>
            <w:r>
              <w:rPr>
                <w:rFonts w:hint="eastAsia" w:eastAsia="等线"/>
                <w:sz w:val="21"/>
                <w:szCs w:val="21"/>
                <w:highlight w:val="green"/>
              </w:rPr>
              <w:t>A</w:t>
            </w:r>
            <w:r>
              <w:rPr>
                <w:rFonts w:hint="default" w:eastAsia="等线"/>
                <w:sz w:val="21"/>
                <w:szCs w:val="21"/>
                <w:highlight w:val="green"/>
              </w:rPr>
              <w:t>greement:</w:t>
            </w:r>
          </w:p>
          <w:p>
            <w:pPr>
              <w:pStyle w:val="74"/>
              <w:keepNext w:val="0"/>
              <w:keepLines w:val="0"/>
              <w:widowControl/>
              <w:numPr>
                <w:ilvl w:val="0"/>
                <w:numId w:val="9"/>
              </w:numPr>
              <w:suppressLineNumbers w:val="0"/>
              <w:overflowPunct/>
              <w:autoSpaceDE/>
              <w:autoSpaceDN/>
              <w:adjustRightInd/>
              <w:spacing w:before="0" w:beforeAutospacing="0" w:after="0" w:afterAutospacing="0"/>
              <w:ind w:right="0"/>
              <w:textAlignment w:val="auto"/>
              <w:rPr>
                <w:rFonts w:hint="default"/>
                <w:szCs w:val="21"/>
                <w:highlight w:val="green"/>
                <w:lang w:eastAsia="zh-CN"/>
              </w:rPr>
            </w:pPr>
            <w:r>
              <w:rPr>
                <w:rFonts w:hint="eastAsia"/>
                <w:szCs w:val="21"/>
                <w:highlight w:val="green"/>
                <w:lang w:eastAsia="zh-CN"/>
              </w:rPr>
              <w:t xml:space="preserve"> </w:t>
            </w:r>
            <w:r>
              <w:rPr>
                <w:rFonts w:hint="default"/>
                <w:szCs w:val="21"/>
                <w:highlight w:val="green"/>
              </w:rPr>
              <w:t xml:space="preserve">When UE indicates </w:t>
            </w:r>
            <w:r>
              <w:rPr>
                <w:rFonts w:hint="default"/>
                <w:i/>
                <w:szCs w:val="21"/>
                <w:highlight w:val="green"/>
              </w:rPr>
              <w:t>CollisionHandlingOfHDFDDOperation</w:t>
            </w:r>
            <w:r>
              <w:rPr>
                <w:rFonts w:hint="default"/>
                <w:szCs w:val="21"/>
                <w:highlight w:val="green"/>
              </w:rPr>
              <w:t xml:space="preserve">, RAN4 to clarify that </w:t>
            </w:r>
            <w:r>
              <w:rPr>
                <w:rFonts w:hint="eastAsia"/>
                <w:szCs w:val="21"/>
                <w:highlight w:val="green"/>
              </w:rPr>
              <w:t xml:space="preserve">measurement </w:t>
            </w:r>
            <w:r>
              <w:rPr>
                <w:rFonts w:hint="default"/>
                <w:szCs w:val="21"/>
                <w:highlight w:val="green"/>
              </w:rPr>
              <w:t>requirements for CSI-RS, scheduling restriction of PDSCH, and PRACH apply provided that no collision between CSI-RS/PDSCH and PRACH</w:t>
            </w:r>
          </w:p>
          <w:p>
            <w:pPr>
              <w:keepNext w:val="0"/>
              <w:keepLines w:val="0"/>
              <w:widowControl/>
              <w:suppressLineNumbers w:val="0"/>
              <w:overflowPunct/>
              <w:autoSpaceDE/>
              <w:autoSpaceDN/>
              <w:adjustRightInd/>
              <w:snapToGrid w:val="0"/>
              <w:spacing w:before="0" w:beforeAutospacing="0" w:after="120" w:afterAutospacing="0"/>
              <w:ind w:left="0" w:right="0"/>
              <w:textAlignment w:val="auto"/>
              <w:rPr>
                <w:rFonts w:hint="default" w:eastAsia="等线"/>
                <w:iCs/>
                <w:sz w:val="20"/>
                <w:szCs w:val="21"/>
                <w:highlight w:val="green"/>
                <w:lang w:val="zh-CN"/>
              </w:rPr>
            </w:pPr>
          </w:p>
        </w:tc>
      </w:tr>
    </w:tbl>
    <w:p>
      <w:pPr>
        <w:numPr>
          <w:ilvl w:val="1"/>
          <w:numId w:val="0"/>
        </w:numPr>
        <w:spacing w:beforeLines="50" w:after="0" w:afterLines="50"/>
        <w:jc w:val="both"/>
        <w:rPr>
          <w:rFonts w:hint="eastAsia" w:eastAsia="宋体" w:cs="Times New Roman"/>
          <w:bCs/>
          <w:sz w:val="22"/>
          <w:szCs w:val="22"/>
          <w:highlight w:val="none"/>
          <w:lang w:val="en-US" w:eastAsia="zh-CN"/>
        </w:rPr>
      </w:pPr>
      <w:r>
        <w:rPr>
          <w:rFonts w:hint="eastAsia" w:eastAsia="宋体" w:cs="Times New Roman"/>
          <w:bCs/>
          <w:sz w:val="22"/>
          <w:szCs w:val="22"/>
          <w:highlight w:val="none"/>
          <w:lang w:val="en-US" w:eastAsia="zh-CN"/>
        </w:rPr>
        <w:t>Since the above scheduling restriction is based on HD-FDD UE, RAN4 shall reuse the legacy requirements for HD-FDD VSAT UE in Ku band with FR1 numerology.</w:t>
      </w:r>
    </w:p>
    <w:p>
      <w:pPr>
        <w:numPr>
          <w:ilvl w:val="1"/>
          <w:numId w:val="0"/>
        </w:numPr>
        <w:spacing w:beforeLines="50" w:after="0" w:afterLines="50"/>
        <w:jc w:val="both"/>
        <w:rPr>
          <w:rFonts w:hint="default" w:eastAsia="宋体" w:cs="Times New Roman"/>
          <w:b/>
          <w:bCs w:val="0"/>
          <w:sz w:val="22"/>
          <w:szCs w:val="22"/>
          <w:highlight w:val="none"/>
          <w:lang w:val="en-US" w:eastAsia="zh-CN"/>
        </w:rPr>
      </w:pPr>
      <w:r>
        <w:rPr>
          <w:rFonts w:hint="eastAsia" w:eastAsia="宋体" w:cs="Times New Roman"/>
          <w:b/>
          <w:bCs w:val="0"/>
          <w:sz w:val="22"/>
          <w:szCs w:val="22"/>
          <w:highlight w:val="none"/>
          <w:lang w:val="en-US" w:eastAsia="zh-CN"/>
        </w:rPr>
        <w:t>Proposal 3: The scheduling restriction defined in R19 RedCap UE in NTN scenario shall be reused directly.</w:t>
      </w:r>
    </w:p>
    <w:p>
      <w:pPr>
        <w:pStyle w:val="4"/>
        <w:jc w:val="both"/>
        <w:rPr>
          <w:rFonts w:hint="eastAsia"/>
          <w:sz w:val="22"/>
          <w:szCs w:val="16"/>
          <w:lang w:val="en-US" w:eastAsia="zh-CN"/>
        </w:rPr>
      </w:pPr>
      <w:r>
        <w:rPr>
          <w:rFonts w:hint="eastAsia"/>
          <w:sz w:val="22"/>
          <w:szCs w:val="16"/>
          <w:lang w:val="en-US" w:eastAsia="zh-CN"/>
        </w:rPr>
        <w:t xml:space="preserve">2.4 Other RRM requirements impact due to HD-FDD  </w:t>
      </w:r>
    </w:p>
    <w:p>
      <w:pPr>
        <w:rPr>
          <w:rFonts w:hint="default"/>
          <w:vertAlign w:val="baseline"/>
          <w:lang w:val="en-US" w:eastAsia="zh-CN"/>
        </w:rPr>
      </w:pPr>
      <w:r>
        <w:rPr>
          <w:rFonts w:hint="eastAsia"/>
          <w:lang w:val="en-US" w:eastAsia="zh-CN"/>
        </w:rPr>
        <w:t>The following agreements could be seen as below:</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sz w:val="20"/>
                <w:szCs w:val="20"/>
                <w:lang w:val="sv-SE" w:eastAsia="zh-CN"/>
              </w:rPr>
            </w:pPr>
            <w:r>
              <w:rPr>
                <w:rFonts w:hint="default"/>
                <w:sz w:val="20"/>
                <w:szCs w:val="20"/>
                <w:lang w:val="sv-SE" w:eastAsia="zh-CN"/>
              </w:rPr>
              <w:t>Agreement</w:t>
            </w:r>
          </w:p>
          <w:p>
            <w:pPr>
              <w:pStyle w:val="74"/>
              <w:keepNext w:val="0"/>
              <w:keepLines w:val="0"/>
              <w:widowControl/>
              <w:numPr>
                <w:ilvl w:val="0"/>
                <w:numId w:val="10"/>
              </w:numPr>
              <w:suppressLineNumbers w:val="0"/>
              <w:spacing w:before="0" w:beforeAutospacing="0" w:after="120" w:afterAutospacing="0"/>
              <w:ind w:right="0" w:firstLineChars="0"/>
              <w:textAlignment w:val="auto"/>
              <w:rPr>
                <w:rFonts w:hint="default"/>
                <w:bCs/>
              </w:rPr>
            </w:pPr>
            <w:r>
              <w:rPr>
                <w:rFonts w:hint="default"/>
                <w:bCs/>
              </w:rPr>
              <w:t>For HD-FDD VSAT, reuse the legacy applicability conditions for HD-FDD for the following existing VSAT requirements</w:t>
            </w:r>
          </w:p>
          <w:p>
            <w:pPr>
              <w:pStyle w:val="74"/>
              <w:keepNext w:val="0"/>
              <w:keepLines w:val="0"/>
              <w:widowControl/>
              <w:numPr>
                <w:ilvl w:val="1"/>
                <w:numId w:val="10"/>
              </w:numPr>
              <w:suppressLineNumbers w:val="0"/>
              <w:spacing w:before="0" w:beforeAutospacing="0" w:after="120" w:afterAutospacing="0"/>
              <w:ind w:right="0" w:firstLineChars="0"/>
              <w:textAlignment w:val="auto"/>
              <w:rPr>
                <w:rFonts w:hint="default"/>
                <w:bCs/>
              </w:rPr>
            </w:pPr>
            <w:r>
              <w:rPr>
                <w:rFonts w:hint="default"/>
                <w:bCs/>
              </w:rPr>
              <w:t>Maximum interruption in paging reception</w:t>
            </w:r>
          </w:p>
          <w:p>
            <w:pPr>
              <w:pStyle w:val="74"/>
              <w:keepNext w:val="0"/>
              <w:keepLines w:val="0"/>
              <w:widowControl/>
              <w:numPr>
                <w:ilvl w:val="1"/>
                <w:numId w:val="10"/>
              </w:numPr>
              <w:suppressLineNumbers w:val="0"/>
              <w:spacing w:before="0" w:beforeAutospacing="0" w:after="120" w:afterAutospacing="0"/>
              <w:ind w:right="0" w:firstLineChars="0"/>
              <w:textAlignment w:val="auto"/>
              <w:rPr>
                <w:rFonts w:hint="default"/>
                <w:bCs/>
              </w:rPr>
            </w:pPr>
            <w:r>
              <w:rPr>
                <w:rFonts w:hint="default"/>
                <w:bCs/>
              </w:rPr>
              <w:t>Random access requirements</w:t>
            </w:r>
          </w:p>
          <w:p>
            <w:pPr>
              <w:pStyle w:val="74"/>
              <w:keepNext w:val="0"/>
              <w:keepLines w:val="0"/>
              <w:widowControl/>
              <w:numPr>
                <w:ilvl w:val="1"/>
                <w:numId w:val="10"/>
              </w:numPr>
              <w:suppressLineNumbers w:val="0"/>
              <w:spacing w:before="0" w:beforeAutospacing="0" w:after="120" w:afterAutospacing="0"/>
              <w:ind w:right="0" w:firstLineChars="0"/>
              <w:textAlignment w:val="auto"/>
              <w:rPr>
                <w:rFonts w:hint="default"/>
                <w:bCs/>
              </w:rPr>
            </w:pPr>
            <w:r>
              <w:rPr>
                <w:rFonts w:hint="default"/>
                <w:bCs/>
              </w:rPr>
              <w:t>RLM and L1-RSRP requirements, including CSI-RS based measurement and L1 indication.</w:t>
            </w:r>
          </w:p>
          <w:p>
            <w:pPr>
              <w:pStyle w:val="74"/>
              <w:keepNext w:val="0"/>
              <w:keepLines w:val="0"/>
              <w:widowControl/>
              <w:numPr>
                <w:ilvl w:val="2"/>
                <w:numId w:val="10"/>
              </w:numPr>
              <w:suppressLineNumbers w:val="0"/>
              <w:spacing w:before="0" w:beforeAutospacing="0" w:after="120" w:afterAutospacing="0"/>
              <w:ind w:right="0" w:firstLineChars="0"/>
              <w:textAlignment w:val="auto"/>
              <w:rPr>
                <w:rFonts w:hint="default"/>
                <w:vertAlign w:val="baseline"/>
                <w:lang w:val="en-US" w:eastAsia="zh-CN"/>
              </w:rPr>
            </w:pPr>
            <w:r>
              <w:rPr>
                <w:rFonts w:hint="default"/>
                <w:bCs/>
              </w:rPr>
              <w:t xml:space="preserve">FFS whether to add condition as at least one SSB is available. </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lang w:val="en-US" w:eastAsia="zh-CN"/>
        </w:rPr>
      </w:pPr>
      <w:r>
        <w:rPr>
          <w:rFonts w:hint="eastAsia"/>
          <w:lang w:val="en-US" w:eastAsia="zh-CN"/>
        </w:rPr>
        <w:t>In legacy, the SSB to be measured during 160ms is to guarantee at least one SSB could be measured. If SSB is collided with other UL signals, the SSB maybe dropped or not available, and measurement requirements will be not applied. That is the motivation to add such condition in legacy.</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lang w:val="en-US" w:eastAsia="zh-CN"/>
        </w:rPr>
      </w:pPr>
      <w:r>
        <w:rPr>
          <w:rFonts w:hint="eastAsia"/>
          <w:lang w:val="en-US" w:eastAsia="zh-CN"/>
        </w:rPr>
        <w:t xml:space="preserve">For this FFS part, the same consideration as section 2.2 handover and satellite switch, if adding condition as at least one SSB is available, it will be confused with understanding of RAN1 agreement defined for HD-FDD UE. Consequently, RAN4 shall not capture FFS part.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lang w:val="en-US" w:eastAsia="zh-CN"/>
        </w:rPr>
      </w:pPr>
      <w:r>
        <w:rPr>
          <w:rFonts w:hint="eastAsia"/>
          <w:b/>
          <w:bCs/>
          <w:lang w:val="en-US" w:eastAsia="zh-CN"/>
        </w:rPr>
        <w:t>Proposal 4: RAN4 shall not add condition as at least one SSB is available in RLM and L1-RSRP requirements.</w:t>
      </w:r>
      <w:r>
        <w:rPr>
          <w:rFonts w:hint="eastAsia"/>
          <w:lang w:val="en-US" w:eastAsia="zh-CN"/>
        </w:rPr>
        <w:t xml:space="preserve"> </w:t>
      </w:r>
    </w:p>
    <w:p>
      <w:pPr>
        <w:pStyle w:val="4"/>
        <w:rPr>
          <w:rFonts w:hint="default"/>
          <w:sz w:val="22"/>
          <w:szCs w:val="16"/>
          <w:lang w:val="en-US" w:eastAsia="zh-CN"/>
        </w:rPr>
      </w:pPr>
      <w:r>
        <w:rPr>
          <w:rFonts w:hint="eastAsia"/>
          <w:sz w:val="22"/>
          <w:szCs w:val="16"/>
          <w:lang w:val="en-US" w:eastAsia="zh-CN"/>
        </w:rPr>
        <w:t>2.5 TA report and collision handling</w:t>
      </w:r>
    </w:p>
    <w:p>
      <w:pPr>
        <w:rPr>
          <w:rFonts w:hint="eastAsia"/>
          <w:lang w:val="en-US" w:eastAsia="zh-CN"/>
        </w:rPr>
      </w:pPr>
      <w:r>
        <w:rPr>
          <w:rFonts w:hint="eastAsia"/>
          <w:lang w:val="en-US" w:eastAsia="zh-CN"/>
        </w:rPr>
        <w:t>For TA report, some companies would like to keep it optional as RAN1/RAN2 defined in R17, some companies deem that the TA report shall be set as mandatory, the following agreement could be seen:</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120" w:afterAutospacing="0"/>
              <w:ind w:left="0" w:right="0"/>
              <w:rPr>
                <w:rFonts w:hint="default" w:eastAsia="MS Mincho"/>
                <w:sz w:val="20"/>
                <w:szCs w:val="20"/>
              </w:rPr>
            </w:pPr>
            <w:r>
              <w:rPr>
                <w:rFonts w:hint="default" w:eastAsia="MS Mincho"/>
                <w:sz w:val="20"/>
                <w:szCs w:val="20"/>
              </w:rPr>
              <w:t>WayForward</w:t>
            </w:r>
          </w:p>
          <w:p>
            <w:pPr>
              <w:pStyle w:val="74"/>
              <w:keepNext w:val="0"/>
              <w:keepLines w:val="0"/>
              <w:widowControl/>
              <w:numPr>
                <w:ilvl w:val="0"/>
                <w:numId w:val="10"/>
              </w:numPr>
              <w:suppressLineNumbers w:val="0"/>
              <w:spacing w:before="0" w:beforeAutospacing="0" w:afterAutospacing="0"/>
              <w:ind w:right="0" w:firstLineChars="0"/>
              <w:textAlignment w:val="auto"/>
              <w:rPr>
                <w:rFonts w:hint="default"/>
                <w:color w:val="0070C0"/>
              </w:rPr>
            </w:pPr>
            <w:r>
              <w:rPr>
                <w:rFonts w:hint="default"/>
                <w:bCs/>
              </w:rPr>
              <w:t>Further discuss the following options</w:t>
            </w:r>
          </w:p>
          <w:p>
            <w:pPr>
              <w:pStyle w:val="74"/>
              <w:keepNext w:val="0"/>
              <w:keepLines w:val="0"/>
              <w:widowControl/>
              <w:numPr>
                <w:ilvl w:val="1"/>
                <w:numId w:val="10"/>
              </w:numPr>
              <w:suppressLineNumbers w:val="0"/>
              <w:spacing w:before="0" w:beforeAutospacing="0" w:afterAutospacing="0"/>
              <w:ind w:right="0" w:firstLineChars="0"/>
              <w:textAlignment w:val="auto"/>
              <w:rPr>
                <w:rFonts w:hint="default"/>
                <w:color w:val="0070C0"/>
              </w:rPr>
            </w:pPr>
            <w:r>
              <w:rPr>
                <w:rFonts w:hint="default"/>
                <w:bCs/>
              </w:rPr>
              <w:t>Option 1: keep it optional</w:t>
            </w:r>
          </w:p>
          <w:p>
            <w:pPr>
              <w:pStyle w:val="74"/>
              <w:keepNext w:val="0"/>
              <w:keepLines w:val="0"/>
              <w:widowControl/>
              <w:numPr>
                <w:ilvl w:val="1"/>
                <w:numId w:val="10"/>
              </w:numPr>
              <w:suppressLineNumbers w:val="0"/>
              <w:spacing w:before="0" w:beforeAutospacing="0" w:afterAutospacing="0"/>
              <w:ind w:right="0" w:firstLineChars="0"/>
              <w:textAlignment w:val="auto"/>
              <w:rPr>
                <w:rFonts w:hint="default"/>
                <w:vertAlign w:val="baseline"/>
                <w:lang w:val="en-US" w:eastAsia="zh-CN"/>
              </w:rPr>
            </w:pPr>
            <w:r>
              <w:rPr>
                <w:rFonts w:hint="default"/>
                <w:bCs/>
              </w:rPr>
              <w:t>Option 2: make technical recommendations if appropriate</w:t>
            </w:r>
          </w:p>
        </w:tc>
      </w:tr>
    </w:tbl>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Before studying this issue, we could review the RAN1 agreement defined in R19 RedCap HD-FDD UE: </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val="0"/>
              <w:numPr>
                <w:ilvl w:val="0"/>
                <w:numId w:val="11"/>
              </w:numPr>
              <w:suppressLineNumbers w:val="0"/>
              <w:spacing w:before="0" w:beforeAutospacing="0" w:after="0" w:afterAutospacing="0"/>
              <w:ind w:left="827" w:right="0" w:hanging="420"/>
              <w:jc w:val="both"/>
              <w:rPr>
                <w:rFonts w:hint="default"/>
                <w:sz w:val="20"/>
                <w:szCs w:val="20"/>
                <w:lang w:val="en-US"/>
              </w:rPr>
            </w:pPr>
            <w:r>
              <w:rPr>
                <w:rFonts w:hint="default" w:ascii="Calibri" w:hAnsi="Calibri" w:eastAsia="宋体" w:cs="Times New Roman"/>
                <w:kern w:val="2"/>
                <w:sz w:val="20"/>
                <w:szCs w:val="20"/>
                <w:lang w:val="en-US" w:eastAsia="zh-CN" w:bidi="ar"/>
              </w:rPr>
              <w:t xml:space="preserve">Whether existing handling rules for the following cases should be reused or updated when taking into account </w:t>
            </w:r>
            <w:r>
              <w:rPr>
                <w:rFonts w:hint="default" w:ascii="Calibri" w:hAnsi="Calibri" w:eastAsia="宋体" w:cs="Times New Roman"/>
                <w:kern w:val="2"/>
                <w:sz w:val="20"/>
                <w:szCs w:val="20"/>
                <w:highlight w:val="yellow"/>
                <w:lang w:val="en-US" w:eastAsia="zh-CN" w:bidi="ar"/>
              </w:rPr>
              <w:t>TA mismatch between actual TA used by UE and assumed TA at the gNB based on available TA report</w:t>
            </w:r>
            <w:r>
              <w:rPr>
                <w:rFonts w:hint="default" w:ascii="Calibri" w:hAnsi="Calibri" w:eastAsia="宋体" w:cs="Times New Roman"/>
                <w:kern w:val="2"/>
                <w:sz w:val="20"/>
                <w:szCs w:val="20"/>
                <w:lang w:val="en-US" w:eastAsia="zh-CN" w:bidi="ar"/>
              </w:rPr>
              <w:t xml:space="preserve">: </w:t>
            </w:r>
          </w:p>
          <w:p>
            <w:pPr>
              <w:keepNext w:val="0"/>
              <w:keepLines w:val="0"/>
              <w:widowControl w:val="0"/>
              <w:numPr>
                <w:ilvl w:val="1"/>
                <w:numId w:val="12"/>
              </w:numPr>
              <w:suppressLineNumbers w:val="0"/>
              <w:tabs>
                <w:tab w:val="left" w:pos="1440"/>
              </w:tabs>
              <w:spacing w:before="0" w:beforeAutospacing="0" w:after="0" w:afterAutospacing="0"/>
              <w:ind w:left="1440" w:right="0" w:hanging="360"/>
              <w:jc w:val="both"/>
              <w:rPr>
                <w:rFonts w:hint="default" w:ascii="Calibri" w:hAnsi="Calibri" w:eastAsia="宋体" w:cs="Times New Roman"/>
                <w:kern w:val="2"/>
                <w:sz w:val="20"/>
                <w:szCs w:val="20"/>
                <w:highlight w:val="none"/>
                <w:lang w:val="en-US"/>
              </w:rPr>
            </w:pPr>
            <w:r>
              <w:rPr>
                <w:rFonts w:hint="default" w:ascii="Calibri" w:hAnsi="Calibri" w:eastAsia="宋体" w:cs="Times New Roman"/>
                <w:kern w:val="2"/>
                <w:sz w:val="20"/>
                <w:szCs w:val="20"/>
                <w:lang w:val="en-US"/>
              </w:rPr>
              <w:t xml:space="preserve">Case 1: </w:t>
            </w:r>
            <w:r>
              <w:rPr>
                <w:rFonts w:hint="default" w:ascii="Calibri" w:hAnsi="Calibri" w:eastAsia="宋体" w:cs="Times New Roman"/>
                <w:kern w:val="2"/>
                <w:sz w:val="20"/>
                <w:szCs w:val="20"/>
                <w:highlight w:val="none"/>
                <w:lang w:val="en-US"/>
              </w:rPr>
              <w:t>Dynamically scheduled DL reception collides with semi-statically configured UL transmission</w:t>
            </w:r>
          </w:p>
          <w:p>
            <w:pPr>
              <w:keepNext w:val="0"/>
              <w:keepLines w:val="0"/>
              <w:widowControl w:val="0"/>
              <w:numPr>
                <w:ilvl w:val="1"/>
                <w:numId w:val="12"/>
              </w:numPr>
              <w:suppressLineNumbers w:val="0"/>
              <w:tabs>
                <w:tab w:val="left" w:pos="1440"/>
              </w:tabs>
              <w:spacing w:before="0" w:beforeAutospacing="0" w:after="0" w:afterAutospacing="0"/>
              <w:ind w:left="1440" w:right="0" w:hanging="360"/>
              <w:jc w:val="both"/>
              <w:rPr>
                <w:rFonts w:hint="default" w:ascii="Calibri" w:hAnsi="Calibri" w:eastAsia="宋体" w:cs="Times New Roman"/>
                <w:kern w:val="2"/>
                <w:sz w:val="20"/>
                <w:szCs w:val="20"/>
                <w:highlight w:val="none"/>
                <w:lang w:val="en-US"/>
              </w:rPr>
            </w:pPr>
            <w:r>
              <w:rPr>
                <w:rFonts w:hint="default" w:ascii="Calibri" w:hAnsi="Calibri" w:eastAsia="宋体" w:cs="Times New Roman"/>
                <w:kern w:val="2"/>
                <w:sz w:val="20"/>
                <w:szCs w:val="20"/>
                <w:highlight w:val="none"/>
                <w:lang w:val="en-US"/>
              </w:rPr>
              <w:t>Case 2: Semi-statically configured DL reception collides with dynamically scheduled UL transmission</w:t>
            </w:r>
          </w:p>
          <w:p>
            <w:pPr>
              <w:keepNext w:val="0"/>
              <w:keepLines w:val="0"/>
              <w:widowControl w:val="0"/>
              <w:numPr>
                <w:ilvl w:val="1"/>
                <w:numId w:val="12"/>
              </w:numPr>
              <w:suppressLineNumbers w:val="0"/>
              <w:tabs>
                <w:tab w:val="left" w:pos="1440"/>
              </w:tabs>
              <w:spacing w:before="0" w:beforeAutospacing="0" w:after="0" w:afterAutospacing="0"/>
              <w:ind w:left="1440" w:right="0" w:hanging="360"/>
              <w:jc w:val="both"/>
              <w:rPr>
                <w:rFonts w:hint="default" w:ascii="Calibri" w:hAnsi="Calibri" w:eastAsia="宋体" w:cs="Times New Roman"/>
                <w:kern w:val="2"/>
                <w:sz w:val="20"/>
                <w:szCs w:val="20"/>
                <w:highlight w:val="none"/>
                <w:lang w:val="en-US"/>
              </w:rPr>
            </w:pPr>
            <w:r>
              <w:rPr>
                <w:rFonts w:hint="default" w:ascii="Calibri" w:hAnsi="Calibri" w:eastAsia="宋体" w:cs="Times New Roman"/>
                <w:kern w:val="2"/>
                <w:sz w:val="20"/>
                <w:szCs w:val="20"/>
                <w:highlight w:val="none"/>
                <w:lang w:val="en-US"/>
              </w:rPr>
              <w:t xml:space="preserve">Case 3: Semi-statically configured DL reception collides with semi-statically configured UL transmission  </w:t>
            </w:r>
          </w:p>
          <w:p>
            <w:pPr>
              <w:keepNext w:val="0"/>
              <w:keepLines w:val="0"/>
              <w:widowControl w:val="0"/>
              <w:numPr>
                <w:ilvl w:val="1"/>
                <w:numId w:val="12"/>
              </w:numPr>
              <w:suppressLineNumbers w:val="0"/>
              <w:tabs>
                <w:tab w:val="left" w:pos="1440"/>
              </w:tabs>
              <w:spacing w:before="0" w:beforeAutospacing="0" w:after="0" w:afterAutospacing="0"/>
              <w:ind w:left="1440" w:right="0" w:hanging="360"/>
              <w:jc w:val="both"/>
              <w:rPr>
                <w:rFonts w:hint="default" w:ascii="Calibri" w:hAnsi="Calibri" w:eastAsia="宋体" w:cs="Times New Roman"/>
                <w:kern w:val="2"/>
                <w:sz w:val="20"/>
                <w:szCs w:val="20"/>
                <w:highlight w:val="none"/>
                <w:lang w:val="en-US"/>
              </w:rPr>
            </w:pPr>
            <w:r>
              <w:rPr>
                <w:rFonts w:hint="default" w:ascii="Calibri" w:hAnsi="Calibri" w:eastAsia="宋体" w:cs="Times New Roman"/>
                <w:kern w:val="2"/>
                <w:sz w:val="20"/>
                <w:szCs w:val="20"/>
                <w:highlight w:val="none"/>
                <w:lang w:val="en-US"/>
              </w:rPr>
              <w:t>Case 4: Dynamically scheduled DL reception collides with dynamic scheduled UL transmission</w:t>
            </w:r>
          </w:p>
          <w:p>
            <w:pPr>
              <w:keepNext w:val="0"/>
              <w:keepLines w:val="0"/>
              <w:widowControl w:val="0"/>
              <w:numPr>
                <w:ilvl w:val="1"/>
                <w:numId w:val="12"/>
              </w:numPr>
              <w:suppressLineNumbers w:val="0"/>
              <w:tabs>
                <w:tab w:val="left" w:pos="1440"/>
              </w:tabs>
              <w:spacing w:before="0" w:beforeAutospacing="0" w:after="0" w:afterAutospacing="0"/>
              <w:ind w:left="1440" w:right="0" w:hanging="360"/>
              <w:jc w:val="both"/>
              <w:rPr>
                <w:rFonts w:hint="default" w:ascii="Calibri" w:hAnsi="Calibri" w:eastAsia="宋体" w:cs="Times New Roman"/>
                <w:kern w:val="2"/>
                <w:sz w:val="20"/>
                <w:szCs w:val="20"/>
                <w:highlight w:val="none"/>
                <w:lang w:val="en-US"/>
              </w:rPr>
            </w:pPr>
            <w:r>
              <w:rPr>
                <w:rFonts w:hint="default" w:ascii="Calibri" w:hAnsi="Calibri" w:eastAsia="宋体" w:cs="Times New Roman"/>
                <w:kern w:val="2"/>
                <w:sz w:val="20"/>
                <w:szCs w:val="20"/>
                <w:highlight w:val="none"/>
                <w:lang w:val="en-US"/>
              </w:rPr>
              <w:t>Case 5: Configured SSB collides with dynamically scheduled or configured UL transmission</w:t>
            </w:r>
          </w:p>
          <w:p>
            <w:pPr>
              <w:keepNext w:val="0"/>
              <w:keepLines w:val="0"/>
              <w:widowControl w:val="0"/>
              <w:numPr>
                <w:ilvl w:val="1"/>
                <w:numId w:val="12"/>
              </w:numPr>
              <w:suppressLineNumbers w:val="0"/>
              <w:tabs>
                <w:tab w:val="left" w:pos="1440"/>
              </w:tabs>
              <w:spacing w:before="0" w:beforeAutospacing="0" w:after="0" w:afterAutospacing="0"/>
              <w:ind w:left="1440" w:right="0" w:hanging="360"/>
              <w:jc w:val="both"/>
              <w:rPr>
                <w:rFonts w:hint="default" w:ascii="Calibri" w:hAnsi="Calibri" w:eastAsia="宋体" w:cs="Times New Roman"/>
                <w:kern w:val="2"/>
                <w:sz w:val="20"/>
                <w:szCs w:val="20"/>
                <w:lang w:val="en-US"/>
              </w:rPr>
            </w:pPr>
            <w:r>
              <w:rPr>
                <w:rFonts w:hint="default" w:ascii="Calibri" w:hAnsi="Calibri" w:eastAsia="宋体" w:cs="Times New Roman"/>
                <w:kern w:val="2"/>
                <w:sz w:val="20"/>
                <w:szCs w:val="20"/>
                <w:highlight w:val="none"/>
                <w:lang w:val="en-US"/>
              </w:rPr>
              <w:t>Case 6: Dynamic or semi-sta</w:t>
            </w:r>
            <w:r>
              <w:rPr>
                <w:rFonts w:hint="default" w:ascii="Calibri" w:hAnsi="Calibri" w:eastAsia="宋体" w:cs="Times New Roman"/>
                <w:kern w:val="2"/>
                <w:sz w:val="20"/>
                <w:szCs w:val="20"/>
                <w:lang w:val="en-US"/>
              </w:rPr>
              <w:t>tic DL collides with valid RO</w:t>
            </w:r>
          </w:p>
          <w:p>
            <w:pPr>
              <w:keepNext w:val="0"/>
              <w:keepLines w:val="0"/>
              <w:widowControl w:val="0"/>
              <w:numPr>
                <w:ilvl w:val="1"/>
                <w:numId w:val="12"/>
              </w:numPr>
              <w:suppressLineNumbers w:val="0"/>
              <w:tabs>
                <w:tab w:val="left" w:pos="1440"/>
              </w:tabs>
              <w:spacing w:before="0" w:beforeAutospacing="0" w:after="0" w:afterAutospacing="0"/>
              <w:ind w:left="1440" w:right="0" w:hanging="360"/>
              <w:jc w:val="both"/>
              <w:rPr>
                <w:rFonts w:hint="default"/>
                <w:sz w:val="20"/>
                <w:szCs w:val="20"/>
                <w:vertAlign w:val="baseline"/>
                <w:lang w:val="en-US" w:eastAsia="zh-CN"/>
              </w:rPr>
            </w:pPr>
            <w:r>
              <w:rPr>
                <w:rFonts w:hint="default" w:ascii="Calibri" w:hAnsi="Calibri" w:eastAsia="宋体" w:cs="Times New Roman"/>
                <w:kern w:val="2"/>
                <w:sz w:val="20"/>
                <w:szCs w:val="20"/>
                <w:lang w:val="en-US"/>
              </w:rPr>
              <w:t>Case 7: Collision due to direction switching</w:t>
            </w:r>
          </w:p>
        </w:tc>
      </w:tr>
    </w:tbl>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 primary cause is the TA mismatch between the actual TA used by the UE and the assumed TA at the gNB based on the available TA report.</w:t>
      </w:r>
    </w:p>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 "actual TA" refers to the TA estimated by the UE using its GNSS capability and assisted ephemeris information. The "assumed TA" can be understood in two ways:</w:t>
      </w:r>
    </w:p>
    <w:p>
      <w:pPr>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 last Timing Advance Command (TAC) sent by the gNB itself.</w:t>
      </w:r>
    </w:p>
    <w:p>
      <w:pPr>
        <w:keepNext w:val="0"/>
        <w:keepLines w:val="0"/>
        <w:pageBreakBefore w:val="0"/>
        <w:widowControl/>
        <w:numPr>
          <w:ilvl w:val="0"/>
          <w:numId w:val="13"/>
        </w:numPr>
        <w:kinsoku/>
        <w:wordWrap/>
        <w:overflowPunct/>
        <w:topLinePunct w:val="0"/>
        <w:autoSpaceDE/>
        <w:autoSpaceDN/>
        <w:bidi w:val="0"/>
        <w:adjustRightInd/>
        <w:snapToGrid/>
        <w:spacing w:before="0" w:beforeLines="50" w:after="0" w:afterLines="50"/>
        <w:ind w:left="0" w:leftChars="0" w:firstLine="0" w:firstLineChars="0"/>
        <w:textAlignment w:val="auto"/>
        <w:rPr>
          <w:rFonts w:hint="eastAsia"/>
          <w:lang w:val="en-US" w:eastAsia="zh-CN"/>
        </w:rPr>
      </w:pPr>
      <w:r>
        <w:rPr>
          <w:rFonts w:hint="eastAsia"/>
          <w:lang w:val="en-US" w:eastAsia="zh-CN"/>
        </w:rPr>
        <w:t>The last TA report received from the UE.</w:t>
      </w:r>
    </w:p>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a UE in initial access, the gNB lacks information about its uplink TA adjustment. Therefore, it can only configure a cell-specific K</w:t>
      </w:r>
      <w:r>
        <w:rPr>
          <w:rFonts w:hint="eastAsia"/>
          <w:vertAlign w:val="subscript"/>
          <w:lang w:val="en-US" w:eastAsia="zh-CN"/>
        </w:rPr>
        <w:t>offset</w:t>
      </w:r>
      <w:r>
        <w:rPr>
          <w:rFonts w:hint="eastAsia"/>
          <w:lang w:val="en-US" w:eastAsia="zh-CN"/>
        </w:rPr>
        <w:t xml:space="preserve"> and broadcast it. If a UE continues to use this broadcast K</w:t>
      </w:r>
      <w:r>
        <w:rPr>
          <w:rFonts w:hint="eastAsia"/>
          <w:vertAlign w:val="subscript"/>
          <w:lang w:val="en-US" w:eastAsia="zh-CN"/>
        </w:rPr>
        <w:t>offset</w:t>
      </w:r>
      <w:r>
        <w:rPr>
          <w:rFonts w:hint="eastAsia"/>
          <w:lang w:val="en-US" w:eastAsia="zh-CN"/>
        </w:rPr>
        <w:t xml:space="preserve"> after initial connection, scheduling flexibility becomes limited. Hence, besides a cell-specific K</w:t>
      </w:r>
      <w:r>
        <w:rPr>
          <w:rFonts w:hint="eastAsia"/>
          <w:vertAlign w:val="subscript"/>
          <w:lang w:val="en-US" w:eastAsia="zh-CN"/>
        </w:rPr>
        <w:t>offset</w:t>
      </w:r>
      <w:r>
        <w:rPr>
          <w:rFonts w:hint="eastAsia"/>
          <w:lang w:val="en-US" w:eastAsia="zh-CN"/>
        </w:rPr>
        <w:t>, a UE-specific K</w:t>
      </w:r>
      <w:r>
        <w:rPr>
          <w:rFonts w:hint="eastAsia"/>
          <w:vertAlign w:val="subscript"/>
          <w:lang w:val="en-US" w:eastAsia="zh-CN"/>
        </w:rPr>
        <w:t>offset</w:t>
      </w:r>
      <w:r>
        <w:rPr>
          <w:rFonts w:hint="eastAsia"/>
          <w:lang w:val="en-US" w:eastAsia="zh-CN"/>
        </w:rPr>
        <w:t xml:space="preserve"> should be considered.</w:t>
      </w:r>
    </w:p>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For a UE-specific K</w:t>
      </w:r>
      <w:r>
        <w:rPr>
          <w:rFonts w:hint="eastAsia"/>
          <w:vertAlign w:val="subscript"/>
          <w:lang w:val="en-US" w:eastAsia="zh-CN"/>
        </w:rPr>
        <w:t>offset</w:t>
      </w:r>
      <w:r>
        <w:rPr>
          <w:rFonts w:hint="eastAsia"/>
          <w:lang w:val="en-US" w:eastAsia="zh-CN"/>
        </w:rPr>
        <w:t>, its configuration can be more accurate if it effectively relies on the TA report mechanism, leading to more precise scheduling.</w:t>
      </w:r>
    </w:p>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RAN1's understanding of "TA mismatch" refers to the change in propagation delay caused by satellite movement. This affects the UE's actual TA value, creating a deviation between the actual TA and the assumed TA.</w:t>
      </w:r>
    </w:p>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Therefore, we believe the TA report should be a mandatory capability. However, considering that UE vendors may disagree, we propose setting the TA report mechanism as conditional mandatory. The condition could be restricted by UE type, meaning only HD-FDD UEs are required to support mandatory TA reporting.</w:t>
      </w:r>
    </w:p>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5: TA report may be set as conditional mandatory, condition refers to only RedCap HD-FDD UE.</w:t>
      </w:r>
    </w:p>
    <w:p>
      <w:pPr>
        <w:pStyle w:val="78"/>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R20 NR Ku band NTN enhancement</w:t>
      </w:r>
      <w:r>
        <w:rPr>
          <w:rFonts w:eastAsia="宋体"/>
          <w:lang w:eastAsia="zh-CN"/>
        </w:rPr>
        <w:t>.</w:t>
      </w:r>
    </w:p>
    <w:p>
      <w:pPr>
        <w:numPr>
          <w:ilvl w:val="-1"/>
          <w:numId w:val="0"/>
        </w:numPr>
        <w:spacing w:beforeLines="50" w:after="0" w:afterLines="50"/>
        <w:jc w:val="both"/>
        <w:rPr>
          <w:rFonts w:hint="eastAsia" w:eastAsia="宋体"/>
          <w:b/>
          <w:bCs/>
          <w:sz w:val="22"/>
          <w:szCs w:val="22"/>
          <w:lang w:val="en-US" w:eastAsia="zh-CN"/>
        </w:rPr>
      </w:pPr>
      <w:r>
        <w:rPr>
          <w:rFonts w:hint="eastAsia" w:eastAsia="宋体"/>
          <w:b/>
          <w:bCs/>
          <w:sz w:val="22"/>
          <w:szCs w:val="22"/>
          <w:lang w:val="en-US" w:eastAsia="zh-CN"/>
        </w:rPr>
        <w:t>Proposal 1: RAN4 shall clarify the HD-FDD VSAT requirements applicability in clause 3.6.20 in CR, as below:</w:t>
      </w:r>
    </w:p>
    <w:p>
      <w:pPr>
        <w:numPr>
          <w:ilvl w:val="-1"/>
          <w:numId w:val="0"/>
        </w:numPr>
        <w:spacing w:beforeLines="50" w:after="0" w:afterLines="50"/>
        <w:jc w:val="both"/>
        <w:rPr>
          <w:rFonts w:hint="default" w:eastAsia="宋体"/>
          <w:b/>
          <w:bCs/>
          <w:sz w:val="22"/>
          <w:szCs w:val="22"/>
          <w:lang w:val="en-US" w:eastAsia="zh-CN"/>
        </w:rPr>
      </w:pPr>
      <w:r>
        <w:rPr>
          <w:rFonts w:hint="eastAsia" w:eastAsia="宋体"/>
          <w:b/>
          <w:bCs/>
          <w:sz w:val="22"/>
          <w:szCs w:val="22"/>
          <w:vertAlign w:val="baseline"/>
          <w:lang w:val="en-US" w:eastAsia="zh-CN"/>
        </w:rPr>
        <w:t>The requirements defined for FR2-NTN apply for HD-FDD VSAT operating in cells with FR1-NTN numerology.</w:t>
      </w:r>
    </w:p>
    <w:p>
      <w:pPr>
        <w:numPr>
          <w:ilvl w:val="1"/>
          <w:numId w:val="0"/>
        </w:numPr>
        <w:spacing w:beforeLines="50" w:after="0" w:afterLines="50"/>
        <w:jc w:val="both"/>
        <w:rPr>
          <w:rFonts w:hint="default" w:ascii="Times New Roman" w:hAnsi="Times New Roman" w:cs="Times New Roman"/>
          <w:b/>
          <w:bCs w:val="0"/>
          <w:sz w:val="22"/>
          <w:szCs w:val="22"/>
          <w:highlight w:val="none"/>
          <w:lang w:val="en-US"/>
        </w:rPr>
      </w:pPr>
      <w:r>
        <w:rPr>
          <w:rFonts w:hint="eastAsia" w:eastAsia="宋体" w:cs="Times New Roman"/>
          <w:b/>
          <w:bCs w:val="0"/>
          <w:sz w:val="22"/>
          <w:szCs w:val="22"/>
          <w:highlight w:val="none"/>
          <w:lang w:val="en-US" w:eastAsia="zh-CN"/>
        </w:rPr>
        <w:t xml:space="preserve">Observation 1: </w:t>
      </w:r>
      <w:r>
        <w:rPr>
          <w:rFonts w:hint="default" w:ascii="Times New Roman" w:hAnsi="Times New Roman" w:cs="Times New Roman"/>
          <w:b/>
          <w:bCs w:val="0"/>
          <w:sz w:val="22"/>
          <w:szCs w:val="22"/>
          <w:highlight w:val="none"/>
          <w:lang w:val="en-US"/>
        </w:rPr>
        <w:t>Leverage RedCap NTN HD-FDD solution to NTN HD-FDD VSAT as applicable.</w:t>
      </w:r>
    </w:p>
    <w:p>
      <w:pPr>
        <w:numPr>
          <w:ilvl w:val="1"/>
          <w:numId w:val="0"/>
        </w:numPr>
        <w:spacing w:beforeLines="50" w:after="0" w:afterLines="50"/>
        <w:jc w:val="both"/>
        <w:rPr>
          <w:rFonts w:hint="default" w:ascii="Times New Roman" w:hAnsi="Times New Roman" w:eastAsia="宋体" w:cs="Times New Roman"/>
          <w:bCs/>
          <w:sz w:val="22"/>
          <w:szCs w:val="22"/>
          <w:highlight w:val="none"/>
          <w:lang w:val="en-US" w:eastAsia="zh-CN"/>
        </w:rPr>
      </w:pPr>
      <w:r>
        <w:rPr>
          <w:rFonts w:hint="eastAsia" w:eastAsia="宋体" w:cs="Times New Roman"/>
          <w:b/>
          <w:bCs w:val="0"/>
          <w:sz w:val="22"/>
          <w:szCs w:val="22"/>
          <w:highlight w:val="none"/>
          <w:lang w:val="en-US" w:eastAsia="zh-CN"/>
        </w:rPr>
        <w:t>Proposal 2: RAN4 shall not capture any applicability rules for HD-FDD VSAT UE in NTN scenario.</w:t>
      </w:r>
    </w:p>
    <w:p>
      <w:pPr>
        <w:numPr>
          <w:ilvl w:val="1"/>
          <w:numId w:val="0"/>
        </w:numPr>
        <w:spacing w:beforeLines="50" w:after="0" w:afterLines="50"/>
        <w:jc w:val="both"/>
        <w:rPr>
          <w:rFonts w:hint="default" w:eastAsia="宋体" w:cs="Times New Roman"/>
          <w:b/>
          <w:bCs w:val="0"/>
          <w:sz w:val="22"/>
          <w:szCs w:val="22"/>
          <w:highlight w:val="none"/>
          <w:lang w:val="en-US" w:eastAsia="zh-CN"/>
        </w:rPr>
      </w:pPr>
      <w:r>
        <w:rPr>
          <w:rFonts w:hint="eastAsia" w:eastAsia="宋体" w:cs="Times New Roman"/>
          <w:b/>
          <w:bCs w:val="0"/>
          <w:sz w:val="22"/>
          <w:szCs w:val="22"/>
          <w:highlight w:val="none"/>
          <w:lang w:val="en-US" w:eastAsia="zh-CN"/>
        </w:rPr>
        <w:t>Proposal 3: The scheduling restriction defined in R19 RedCap UE in NTN scenario shall be reused directly.</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lang w:val="en-US" w:eastAsia="zh-CN"/>
        </w:rPr>
      </w:pPr>
      <w:r>
        <w:rPr>
          <w:rFonts w:hint="eastAsia"/>
          <w:b/>
          <w:bCs/>
          <w:lang w:val="en-US" w:eastAsia="zh-CN"/>
        </w:rPr>
        <w:t>Proposal 4: RAN4 shall not add condition as at least one SSB is available in RLM and L1-RSRP requirements.</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default"/>
          <w:b/>
          <w:bCs/>
          <w:lang w:val="en-US" w:eastAsia="zh-CN"/>
        </w:rPr>
      </w:pPr>
      <w:r>
        <w:rPr>
          <w:rFonts w:hint="eastAsia"/>
          <w:b/>
          <w:bCs/>
          <w:lang w:val="en-US" w:eastAsia="zh-CN"/>
        </w:rPr>
        <w:t>Proposal 5: TA report may be set as conditional mandatory, condition refers to only RedCap HD-FDD UE.</w:t>
      </w:r>
    </w:p>
    <w:p>
      <w:pPr>
        <w:spacing w:before="120" w:after="120"/>
        <w:rPr>
          <w:rFonts w:eastAsia="宋体"/>
          <w:lang w:eastAsia="zh-CN"/>
        </w:rPr>
      </w:pPr>
    </w:p>
    <w:p>
      <w:pPr>
        <w:pStyle w:val="78"/>
        <w:numPr>
          <w:ilvl w:val="0"/>
          <w:numId w:val="0"/>
        </w:numPr>
        <w:ind w:left="360" w:hanging="360"/>
        <w:rPr>
          <w:lang w:val="en-US"/>
        </w:rPr>
      </w:pPr>
      <w:r>
        <w:rPr>
          <w:lang w:val="en-US"/>
        </w:rPr>
        <w:t>References</w:t>
      </w:r>
    </w:p>
    <w:p>
      <w:pPr>
        <w:numPr>
          <w:ilvl w:val="0"/>
          <w:numId w:val="14"/>
        </w:numPr>
        <w:rPr>
          <w:lang w:val="en-US" w:eastAsia="zh-CN"/>
        </w:rPr>
      </w:pPr>
      <w:bookmarkStart w:id="12" w:name="_Ref114500673"/>
      <w:bookmarkEnd w:id="12"/>
      <w:r>
        <w:t>RP-2</w:t>
      </w:r>
      <w:r>
        <w:rPr>
          <w:rFonts w:hint="eastAsia" w:eastAsia="宋体"/>
          <w:lang w:val="en-US" w:eastAsia="zh-CN"/>
        </w:rPr>
        <w:t>52958</w:t>
      </w:r>
      <w:r>
        <w:rPr>
          <w:rFonts w:hint="eastAsia"/>
          <w:lang w:eastAsia="zh-CN"/>
        </w:rPr>
        <w:t>,</w:t>
      </w:r>
      <w:r>
        <w:rPr>
          <w:lang w:eastAsia="zh-CN"/>
        </w:rPr>
        <w:t xml:space="preserve"> </w:t>
      </w:r>
      <w:r>
        <w:rPr>
          <w:rFonts w:hint="eastAsia"/>
          <w:lang w:eastAsia="zh-CN"/>
        </w:rPr>
        <w:t xml:space="preserve">WID: </w:t>
      </w:r>
      <w:r>
        <w:rPr>
          <w:rFonts w:hint="eastAsia"/>
          <w:lang w:val="en-US" w:eastAsia="zh-CN"/>
        </w:rPr>
        <w:t>New WID on Enhanced requirements for NR NTN and IoT NTN Phase 2.</w:t>
      </w:r>
    </w:p>
    <w:p>
      <w:pPr>
        <w:numPr>
          <w:ilvl w:val="0"/>
          <w:numId w:val="14"/>
        </w:numPr>
        <w:rPr>
          <w:lang w:val="en-US" w:eastAsia="zh-CN"/>
        </w:rPr>
      </w:pPr>
      <w:r>
        <w:rPr>
          <w:rFonts w:hint="eastAsia"/>
          <w:lang w:val="en-US" w:eastAsia="zh-CN"/>
        </w:rPr>
        <w:t>R4-2515082, WF for [116bis][330] NR_IoT_NTN_Ph2_Part2, Media Tek.</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7"/>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AFC34F"/>
    <w:multiLevelType w:val="multilevel"/>
    <w:tmpl w:val="80AFC34F"/>
    <w:lvl w:ilvl="0" w:tentative="0">
      <w:start w:val="1"/>
      <w:numFmt w:val="bullet"/>
      <w:lvlText w:val=""/>
      <w:lvlJc w:val="left"/>
      <w:pPr>
        <w:ind w:left="827" w:hanging="420"/>
      </w:pPr>
      <w:rPr>
        <w:rFonts w:hint="default" w:ascii="Wingdings" w:hAnsi="Wingdings" w:cs="Wingdings"/>
      </w:rPr>
    </w:lvl>
    <w:lvl w:ilvl="1" w:tentative="0">
      <w:start w:val="1"/>
      <w:numFmt w:val="bullet"/>
      <w:lvlText w:val=""/>
      <w:lvlJc w:val="left"/>
      <w:pPr>
        <w:ind w:left="1247" w:hanging="420"/>
      </w:pPr>
      <w:rPr>
        <w:rFonts w:hint="default" w:ascii="Wingdings" w:hAnsi="Wingdings" w:cs="Wingdings"/>
      </w:rPr>
    </w:lvl>
    <w:lvl w:ilvl="2" w:tentative="0">
      <w:start w:val="1"/>
      <w:numFmt w:val="bullet"/>
      <w:lvlText w:val=""/>
      <w:lvlJc w:val="left"/>
      <w:pPr>
        <w:ind w:left="1667" w:hanging="420"/>
      </w:pPr>
      <w:rPr>
        <w:rFonts w:hint="default" w:ascii="Wingdings" w:hAnsi="Wingdings" w:cs="Wingdings"/>
      </w:rPr>
    </w:lvl>
    <w:lvl w:ilvl="3" w:tentative="0">
      <w:start w:val="1"/>
      <w:numFmt w:val="bullet"/>
      <w:lvlText w:val=""/>
      <w:lvlJc w:val="left"/>
      <w:pPr>
        <w:ind w:left="2087" w:hanging="420"/>
      </w:pPr>
      <w:rPr>
        <w:rFonts w:hint="default" w:ascii="Wingdings" w:hAnsi="Wingdings" w:cs="Wingdings"/>
      </w:rPr>
    </w:lvl>
    <w:lvl w:ilvl="4" w:tentative="0">
      <w:start w:val="1"/>
      <w:numFmt w:val="bullet"/>
      <w:lvlText w:val=""/>
      <w:lvlJc w:val="left"/>
      <w:pPr>
        <w:ind w:left="2507" w:hanging="420"/>
      </w:pPr>
      <w:rPr>
        <w:rFonts w:hint="default" w:ascii="Wingdings" w:hAnsi="Wingdings" w:cs="Wingdings"/>
      </w:rPr>
    </w:lvl>
    <w:lvl w:ilvl="5" w:tentative="0">
      <w:start w:val="1"/>
      <w:numFmt w:val="bullet"/>
      <w:lvlText w:val=""/>
      <w:lvlJc w:val="left"/>
      <w:pPr>
        <w:ind w:left="2927" w:hanging="420"/>
      </w:pPr>
      <w:rPr>
        <w:rFonts w:hint="default" w:ascii="Wingdings" w:hAnsi="Wingdings" w:cs="Wingdings"/>
      </w:rPr>
    </w:lvl>
    <w:lvl w:ilvl="6" w:tentative="0">
      <w:start w:val="1"/>
      <w:numFmt w:val="bullet"/>
      <w:lvlText w:val=""/>
      <w:lvlJc w:val="left"/>
      <w:pPr>
        <w:ind w:left="3347" w:hanging="420"/>
      </w:pPr>
      <w:rPr>
        <w:rFonts w:hint="default" w:ascii="Wingdings" w:hAnsi="Wingdings" w:cs="Wingdings"/>
      </w:rPr>
    </w:lvl>
    <w:lvl w:ilvl="7" w:tentative="0">
      <w:start w:val="1"/>
      <w:numFmt w:val="bullet"/>
      <w:lvlText w:val=""/>
      <w:lvlJc w:val="left"/>
      <w:pPr>
        <w:ind w:left="3767" w:hanging="420"/>
      </w:pPr>
      <w:rPr>
        <w:rFonts w:hint="default" w:ascii="Wingdings" w:hAnsi="Wingdings" w:cs="Wingdings"/>
      </w:rPr>
    </w:lvl>
    <w:lvl w:ilvl="8" w:tentative="0">
      <w:start w:val="1"/>
      <w:numFmt w:val="bullet"/>
      <w:lvlText w:val=""/>
      <w:lvlJc w:val="left"/>
      <w:pPr>
        <w:ind w:left="4187" w:hanging="420"/>
      </w:pPr>
      <w:rPr>
        <w:rFonts w:hint="default" w:ascii="Wingdings" w:hAnsi="Wingdings" w:cs="Wingdings"/>
      </w:rPr>
    </w:lvl>
  </w:abstractNum>
  <w:abstractNum w:abstractNumId="1">
    <w:nsid w:val="913B9E59"/>
    <w:multiLevelType w:val="multilevel"/>
    <w:tmpl w:val="913B9E59"/>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D10CAC62"/>
    <w:multiLevelType w:val="multilevel"/>
    <w:tmpl w:val="D10CAC62"/>
    <w:lvl w:ilvl="0" w:tentative="0">
      <w:start w:val="1"/>
      <w:numFmt w:val="bullet"/>
      <w:lvlText w:val=""/>
      <w:lvlJc w:val="left"/>
      <w:pPr>
        <w:ind w:left="1200" w:hanging="480"/>
      </w:pPr>
      <w:rPr>
        <w:rFonts w:hint="default" w:ascii="Symbol" w:hAnsi="Symbol" w:cs="Symbol"/>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Wingdings" w:hAnsi="Wingdings" w:cs="Wingding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3">
    <w:nsid w:val="24B5655C"/>
    <w:multiLevelType w:val="multilevel"/>
    <w:tmpl w:val="24B5655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F95228"/>
    <w:multiLevelType w:val="multilevel"/>
    <w:tmpl w:val="2CF95228"/>
    <w:lvl w:ilvl="0" w:tentative="0">
      <w:start w:val="1"/>
      <w:numFmt w:val="bullet"/>
      <w:lvlText w:val="o"/>
      <w:lvlJc w:val="left"/>
      <w:pPr>
        <w:ind w:left="1200" w:hanging="480"/>
      </w:pPr>
      <w:rPr>
        <w:rFonts w:ascii="Courier New" w:hAnsi="Courier New" w:cs="Courier New"/>
      </w:rPr>
    </w:lvl>
    <w:lvl w:ilvl="1" w:tentative="0">
      <w:start w:val="1"/>
      <w:numFmt w:val="bullet"/>
      <w:lvlText w:val=""/>
      <w:lvlJc w:val="left"/>
      <w:pPr>
        <w:ind w:left="1680" w:hanging="480"/>
      </w:pPr>
      <w:rPr>
        <w:rFonts w:hint="default" w:ascii="Wingdings" w:hAnsi="Wingdings" w:cs="Wingdings"/>
      </w:rPr>
    </w:lvl>
    <w:lvl w:ilvl="2" w:tentative="0">
      <w:start w:val="1"/>
      <w:numFmt w:val="bullet"/>
      <w:lvlText w:val="-"/>
      <w:lvlJc w:val="left"/>
      <w:pPr>
        <w:ind w:left="2160" w:hanging="480"/>
      </w:pPr>
      <w:rPr>
        <w:rFonts w:hint="default" w:ascii="Times New Roman" w:hAnsi="Times New Roman" w:cs="Times New Roman"/>
        <w:lang w:val="en-US"/>
      </w:rPr>
    </w:lvl>
    <w:lvl w:ilvl="3" w:tentative="0">
      <w:start w:val="1"/>
      <w:numFmt w:val="bullet"/>
      <w:lvlText w:val=""/>
      <w:lvlJc w:val="left"/>
      <w:pPr>
        <w:ind w:left="2640" w:hanging="480"/>
      </w:pPr>
      <w:rPr>
        <w:rFonts w:hint="default" w:ascii="Wingdings" w:hAnsi="Wingdings" w:cs="Wingdings"/>
      </w:rPr>
    </w:lvl>
    <w:lvl w:ilvl="4" w:tentative="0">
      <w:start w:val="1"/>
      <w:numFmt w:val="bullet"/>
      <w:lvlText w:val=""/>
      <w:lvlJc w:val="left"/>
      <w:pPr>
        <w:ind w:left="3120" w:hanging="480"/>
      </w:pPr>
      <w:rPr>
        <w:rFonts w:hint="default" w:ascii="Wingdings" w:hAnsi="Wingdings" w:cs="Wingdings"/>
      </w:rPr>
    </w:lvl>
    <w:lvl w:ilvl="5" w:tentative="0">
      <w:start w:val="1"/>
      <w:numFmt w:val="bullet"/>
      <w:lvlText w:val=""/>
      <w:lvlJc w:val="left"/>
      <w:pPr>
        <w:ind w:left="3600" w:hanging="480"/>
      </w:pPr>
      <w:rPr>
        <w:rFonts w:hint="default" w:ascii="Wingdings" w:hAnsi="Wingdings" w:cs="Wingdings"/>
      </w:rPr>
    </w:lvl>
    <w:lvl w:ilvl="6" w:tentative="0">
      <w:start w:val="1"/>
      <w:numFmt w:val="bullet"/>
      <w:lvlText w:val=""/>
      <w:lvlJc w:val="left"/>
      <w:pPr>
        <w:ind w:left="4080" w:hanging="480"/>
      </w:pPr>
      <w:rPr>
        <w:rFonts w:hint="default" w:ascii="Wingdings" w:hAnsi="Wingdings" w:cs="Wingdings"/>
      </w:rPr>
    </w:lvl>
    <w:lvl w:ilvl="7" w:tentative="0">
      <w:start w:val="1"/>
      <w:numFmt w:val="bullet"/>
      <w:lvlText w:val=""/>
      <w:lvlJc w:val="left"/>
      <w:pPr>
        <w:ind w:left="4560" w:hanging="480"/>
      </w:pPr>
      <w:rPr>
        <w:rFonts w:hint="default" w:ascii="Wingdings" w:hAnsi="Wingdings" w:cs="Wingdings"/>
      </w:rPr>
    </w:lvl>
    <w:lvl w:ilvl="8" w:tentative="0">
      <w:start w:val="1"/>
      <w:numFmt w:val="bullet"/>
      <w:lvlText w:val=""/>
      <w:lvlJc w:val="left"/>
      <w:pPr>
        <w:ind w:left="5040" w:hanging="480"/>
      </w:pPr>
      <w:rPr>
        <w:rFonts w:hint="default" w:ascii="Wingdings" w:hAnsi="Wingdings" w:cs="Wingdings"/>
      </w:rPr>
    </w:lvl>
  </w:abstractNum>
  <w:abstractNum w:abstractNumId="5">
    <w:nsid w:val="2F096323"/>
    <w:multiLevelType w:val="multilevel"/>
    <w:tmpl w:val="2F096323"/>
    <w:lvl w:ilvl="0" w:tentative="0">
      <w:start w:val="1"/>
      <w:numFmt w:val="bullet"/>
      <w:lvlText w:val=""/>
      <w:lvlJc w:val="left"/>
      <w:pPr>
        <w:ind w:left="720" w:hanging="360"/>
      </w:pPr>
      <w:rPr>
        <w:rFonts w:ascii="Symbol" w:hAnsi="Symbol" w:cs="Symbol"/>
        <w:lang w:val="en-US"/>
      </w:rPr>
    </w:lvl>
    <w:lvl w:ilvl="1" w:tentative="0">
      <w:start w:val="1"/>
      <w:numFmt w:val="bullet"/>
      <w:lvlText w:val=""/>
      <w:lvlJc w:val="left"/>
      <w:pPr>
        <w:ind w:left="1440" w:hanging="360"/>
      </w:pPr>
      <w:rPr>
        <w:rFonts w:hint="default" w:ascii="Symbol" w:hAnsi="Symbol" w:cs="Symbol"/>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Wingdings" w:hAnsi="Wingdings" w:cs="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6">
    <w:nsid w:val="3863710E"/>
    <w:multiLevelType w:val="multilevel"/>
    <w:tmpl w:val="3863710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D6E3167"/>
    <w:multiLevelType w:val="multilevel"/>
    <w:tmpl w:val="4D6E3167"/>
    <w:lvl w:ilvl="0" w:tentative="0">
      <w:start w:val="1"/>
      <w:numFmt w:val="decimal"/>
      <w:pStyle w:val="81"/>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color w:val="auto"/>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E257BA1"/>
    <w:multiLevelType w:val="multilevel"/>
    <w:tmpl w:val="5E257B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Times New Roman" w:hAnsi="Times New Roman" w:eastAsia="宋体" w:cs="Times New Roman"/>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3ED36D4"/>
    <w:multiLevelType w:val="multilevel"/>
    <w:tmpl w:val="63ED36D4"/>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65C217B"/>
    <w:multiLevelType w:val="multilevel"/>
    <w:tmpl w:val="665C217B"/>
    <w:lvl w:ilvl="0" w:tentative="0">
      <w:start w:val="1"/>
      <w:numFmt w:val="decimal"/>
      <w:pStyle w:val="78"/>
      <w:lvlText w:val="%1"/>
      <w:lvlJc w:val="left"/>
      <w:pPr>
        <w:ind w:left="360" w:hanging="360"/>
      </w:pPr>
      <w:rPr>
        <w:rFonts w:hint="default"/>
      </w:rPr>
    </w:lvl>
    <w:lvl w:ilvl="1" w:tentative="0">
      <w:start w:val="1"/>
      <w:numFmt w:val="decimal"/>
      <w:pStyle w:val="80"/>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2">
    <w:nsid w:val="6A9F4C82"/>
    <w:multiLevelType w:val="singleLevel"/>
    <w:tmpl w:val="6A9F4C82"/>
    <w:lvl w:ilvl="0" w:tentative="0">
      <w:start w:val="1"/>
      <w:numFmt w:val="decimal"/>
      <w:suff w:val="space"/>
      <w:lvlText w:val="%1."/>
      <w:lvlJc w:val="left"/>
    </w:lvl>
  </w:abstractNum>
  <w:abstractNum w:abstractNumId="13">
    <w:nsid w:val="6FF9DC81"/>
    <w:multiLevelType w:val="singleLevel"/>
    <w:tmpl w:val="6FF9DC81"/>
    <w:lvl w:ilvl="0" w:tentative="0">
      <w:start w:val="1"/>
      <w:numFmt w:val="decimal"/>
      <w:suff w:val="space"/>
      <w:lvlText w:val="[%1]"/>
      <w:lvlJc w:val="left"/>
    </w:lvl>
  </w:abstractNum>
  <w:num w:numId="1">
    <w:abstractNumId w:val="11"/>
  </w:num>
  <w:num w:numId="2">
    <w:abstractNumId w:val="7"/>
  </w:num>
  <w:num w:numId="3">
    <w:abstractNumId w:val="2"/>
  </w:num>
  <w:num w:numId="4">
    <w:abstractNumId w:val="4"/>
  </w:num>
  <w:num w:numId="5">
    <w:abstractNumId w:val="5"/>
  </w:num>
  <w:num w:numId="6">
    <w:abstractNumId w:val="9"/>
  </w:num>
  <w:num w:numId="7">
    <w:abstractNumId w:val="3"/>
  </w:num>
  <w:num w:numId="8">
    <w:abstractNumId w:val="6"/>
  </w:num>
  <w:num w:numId="9">
    <w:abstractNumId w:val="8"/>
  </w:num>
  <w:num w:numId="10">
    <w:abstractNumId w:val="10"/>
  </w:num>
  <w:num w:numId="11">
    <w:abstractNumId w:val="0"/>
  </w:num>
  <w:num w:numId="12">
    <w:abstractNumId w:val="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1A76"/>
    <w:rsid w:val="00125F5F"/>
    <w:rsid w:val="00133525"/>
    <w:rsid w:val="00134965"/>
    <w:rsid w:val="00137071"/>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67BF5"/>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2C02"/>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82CCA"/>
    <w:rsid w:val="00695191"/>
    <w:rsid w:val="006A323F"/>
    <w:rsid w:val="006A6F17"/>
    <w:rsid w:val="006B30D0"/>
    <w:rsid w:val="006B63DD"/>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165B"/>
    <w:rsid w:val="00A82346"/>
    <w:rsid w:val="00A82AAA"/>
    <w:rsid w:val="00A91253"/>
    <w:rsid w:val="00A92BA1"/>
    <w:rsid w:val="00A95C70"/>
    <w:rsid w:val="00A962A2"/>
    <w:rsid w:val="00AC3612"/>
    <w:rsid w:val="00AC6BC6"/>
    <w:rsid w:val="00AD1CB4"/>
    <w:rsid w:val="00AD6FA4"/>
    <w:rsid w:val="00AE65E2"/>
    <w:rsid w:val="00AF356F"/>
    <w:rsid w:val="00AF7F27"/>
    <w:rsid w:val="00B102AB"/>
    <w:rsid w:val="00B15449"/>
    <w:rsid w:val="00B20B26"/>
    <w:rsid w:val="00B30A36"/>
    <w:rsid w:val="00B55938"/>
    <w:rsid w:val="00B66345"/>
    <w:rsid w:val="00B66DD7"/>
    <w:rsid w:val="00B67352"/>
    <w:rsid w:val="00B71554"/>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E3956"/>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2FFA"/>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0C5DD9"/>
    <w:rsid w:val="01117C8D"/>
    <w:rsid w:val="011629BA"/>
    <w:rsid w:val="011D465F"/>
    <w:rsid w:val="01295F0D"/>
    <w:rsid w:val="01410DC2"/>
    <w:rsid w:val="014C0733"/>
    <w:rsid w:val="014F609F"/>
    <w:rsid w:val="01511039"/>
    <w:rsid w:val="01536085"/>
    <w:rsid w:val="0158163D"/>
    <w:rsid w:val="01590644"/>
    <w:rsid w:val="015E5540"/>
    <w:rsid w:val="01622683"/>
    <w:rsid w:val="01652E48"/>
    <w:rsid w:val="018C65C9"/>
    <w:rsid w:val="018F1743"/>
    <w:rsid w:val="018F25C8"/>
    <w:rsid w:val="01906A5B"/>
    <w:rsid w:val="01907C39"/>
    <w:rsid w:val="019A7C22"/>
    <w:rsid w:val="01A050D6"/>
    <w:rsid w:val="01BF1FED"/>
    <w:rsid w:val="01BF37C7"/>
    <w:rsid w:val="01CB4B95"/>
    <w:rsid w:val="01D1338A"/>
    <w:rsid w:val="01D137ED"/>
    <w:rsid w:val="01D311BB"/>
    <w:rsid w:val="01D31F25"/>
    <w:rsid w:val="01DE5E53"/>
    <w:rsid w:val="01E70C97"/>
    <w:rsid w:val="01EA15CF"/>
    <w:rsid w:val="020172F7"/>
    <w:rsid w:val="020B0ECC"/>
    <w:rsid w:val="021E0E45"/>
    <w:rsid w:val="022212E3"/>
    <w:rsid w:val="02247376"/>
    <w:rsid w:val="022502F6"/>
    <w:rsid w:val="0227513D"/>
    <w:rsid w:val="0230315A"/>
    <w:rsid w:val="023A64A7"/>
    <w:rsid w:val="023D526D"/>
    <w:rsid w:val="02402E7C"/>
    <w:rsid w:val="024205C1"/>
    <w:rsid w:val="02505886"/>
    <w:rsid w:val="026539B9"/>
    <w:rsid w:val="02667EA7"/>
    <w:rsid w:val="02730900"/>
    <w:rsid w:val="027F2CA3"/>
    <w:rsid w:val="029011A2"/>
    <w:rsid w:val="029119C5"/>
    <w:rsid w:val="02921645"/>
    <w:rsid w:val="02990F0B"/>
    <w:rsid w:val="029C2FAD"/>
    <w:rsid w:val="02A03627"/>
    <w:rsid w:val="02A3214A"/>
    <w:rsid w:val="02A602E6"/>
    <w:rsid w:val="02AE5D6F"/>
    <w:rsid w:val="02BB37DF"/>
    <w:rsid w:val="02BD4751"/>
    <w:rsid w:val="02BF71C9"/>
    <w:rsid w:val="02DB4554"/>
    <w:rsid w:val="02EC4357"/>
    <w:rsid w:val="02EE768C"/>
    <w:rsid w:val="02F8362B"/>
    <w:rsid w:val="02FA1082"/>
    <w:rsid w:val="03105CC9"/>
    <w:rsid w:val="031778E0"/>
    <w:rsid w:val="0327096F"/>
    <w:rsid w:val="032A315A"/>
    <w:rsid w:val="03481CC2"/>
    <w:rsid w:val="034C0EF4"/>
    <w:rsid w:val="034E163D"/>
    <w:rsid w:val="034F527C"/>
    <w:rsid w:val="03593570"/>
    <w:rsid w:val="03595B8B"/>
    <w:rsid w:val="035D5426"/>
    <w:rsid w:val="035E7A94"/>
    <w:rsid w:val="036402D1"/>
    <w:rsid w:val="037A1871"/>
    <w:rsid w:val="038E7FF3"/>
    <w:rsid w:val="03981C19"/>
    <w:rsid w:val="03983AC0"/>
    <w:rsid w:val="039A3262"/>
    <w:rsid w:val="03A1038B"/>
    <w:rsid w:val="03B3498A"/>
    <w:rsid w:val="03BA3762"/>
    <w:rsid w:val="03BD58AF"/>
    <w:rsid w:val="03BF3D9F"/>
    <w:rsid w:val="03C33CF4"/>
    <w:rsid w:val="03C80AD2"/>
    <w:rsid w:val="03C95263"/>
    <w:rsid w:val="03D31FB0"/>
    <w:rsid w:val="03EF3B00"/>
    <w:rsid w:val="03F0584F"/>
    <w:rsid w:val="03F27EC0"/>
    <w:rsid w:val="03FB5627"/>
    <w:rsid w:val="03FE411B"/>
    <w:rsid w:val="04076F95"/>
    <w:rsid w:val="040E43A3"/>
    <w:rsid w:val="040E44FD"/>
    <w:rsid w:val="041C7AF3"/>
    <w:rsid w:val="04242812"/>
    <w:rsid w:val="04327B47"/>
    <w:rsid w:val="04383CC9"/>
    <w:rsid w:val="043B0C6C"/>
    <w:rsid w:val="043B1FC0"/>
    <w:rsid w:val="043C6692"/>
    <w:rsid w:val="043C7FF8"/>
    <w:rsid w:val="043F61B8"/>
    <w:rsid w:val="04421BA4"/>
    <w:rsid w:val="04455C06"/>
    <w:rsid w:val="044B12E0"/>
    <w:rsid w:val="045A78A6"/>
    <w:rsid w:val="045E041F"/>
    <w:rsid w:val="045E69C5"/>
    <w:rsid w:val="046301A2"/>
    <w:rsid w:val="046571DF"/>
    <w:rsid w:val="046D095B"/>
    <w:rsid w:val="046E445B"/>
    <w:rsid w:val="04727A0B"/>
    <w:rsid w:val="04732FB8"/>
    <w:rsid w:val="04791063"/>
    <w:rsid w:val="047A5043"/>
    <w:rsid w:val="04871DE8"/>
    <w:rsid w:val="048F6485"/>
    <w:rsid w:val="04A12403"/>
    <w:rsid w:val="04A45BAD"/>
    <w:rsid w:val="04A53B70"/>
    <w:rsid w:val="04A815F7"/>
    <w:rsid w:val="04A81A71"/>
    <w:rsid w:val="04A96583"/>
    <w:rsid w:val="04AD06A4"/>
    <w:rsid w:val="04B4083F"/>
    <w:rsid w:val="04BD1E3A"/>
    <w:rsid w:val="04CC624B"/>
    <w:rsid w:val="04DA6B4D"/>
    <w:rsid w:val="04EC5C54"/>
    <w:rsid w:val="04EF7AAD"/>
    <w:rsid w:val="04F0022B"/>
    <w:rsid w:val="050C7718"/>
    <w:rsid w:val="0521288B"/>
    <w:rsid w:val="05214F03"/>
    <w:rsid w:val="05386908"/>
    <w:rsid w:val="053F6A98"/>
    <w:rsid w:val="05482DD9"/>
    <w:rsid w:val="055213B0"/>
    <w:rsid w:val="0555772A"/>
    <w:rsid w:val="055E02FB"/>
    <w:rsid w:val="055E4EBB"/>
    <w:rsid w:val="056A3BE2"/>
    <w:rsid w:val="057E42D0"/>
    <w:rsid w:val="058840C4"/>
    <w:rsid w:val="0593613D"/>
    <w:rsid w:val="05AE2916"/>
    <w:rsid w:val="05AF75D8"/>
    <w:rsid w:val="05B105BF"/>
    <w:rsid w:val="05B1379B"/>
    <w:rsid w:val="05BB22A4"/>
    <w:rsid w:val="05C6466C"/>
    <w:rsid w:val="05C92B20"/>
    <w:rsid w:val="05CA02F3"/>
    <w:rsid w:val="05CE66DD"/>
    <w:rsid w:val="05D54538"/>
    <w:rsid w:val="05D83453"/>
    <w:rsid w:val="05DB67C3"/>
    <w:rsid w:val="05DE172A"/>
    <w:rsid w:val="05E23036"/>
    <w:rsid w:val="05E5299E"/>
    <w:rsid w:val="05E84F40"/>
    <w:rsid w:val="05ED6DB4"/>
    <w:rsid w:val="05F02736"/>
    <w:rsid w:val="05F24812"/>
    <w:rsid w:val="05FC3F93"/>
    <w:rsid w:val="06026AB1"/>
    <w:rsid w:val="06090B03"/>
    <w:rsid w:val="060A6960"/>
    <w:rsid w:val="060D0D66"/>
    <w:rsid w:val="0622111A"/>
    <w:rsid w:val="062C2061"/>
    <w:rsid w:val="06304C93"/>
    <w:rsid w:val="06311BAC"/>
    <w:rsid w:val="064674D8"/>
    <w:rsid w:val="065345F9"/>
    <w:rsid w:val="0659050C"/>
    <w:rsid w:val="06660473"/>
    <w:rsid w:val="0666512D"/>
    <w:rsid w:val="06692E75"/>
    <w:rsid w:val="067C67DB"/>
    <w:rsid w:val="068158A4"/>
    <w:rsid w:val="06895B05"/>
    <w:rsid w:val="068A15DB"/>
    <w:rsid w:val="068B03EE"/>
    <w:rsid w:val="068C79BF"/>
    <w:rsid w:val="068E6EF2"/>
    <w:rsid w:val="069071A1"/>
    <w:rsid w:val="06910540"/>
    <w:rsid w:val="06916ADD"/>
    <w:rsid w:val="0695635D"/>
    <w:rsid w:val="06A76277"/>
    <w:rsid w:val="06CA4E47"/>
    <w:rsid w:val="06D870D9"/>
    <w:rsid w:val="06E521B8"/>
    <w:rsid w:val="06E6018A"/>
    <w:rsid w:val="06E645CC"/>
    <w:rsid w:val="06F45A64"/>
    <w:rsid w:val="07007517"/>
    <w:rsid w:val="07030E38"/>
    <w:rsid w:val="07073FA3"/>
    <w:rsid w:val="07095017"/>
    <w:rsid w:val="07171EC2"/>
    <w:rsid w:val="0726771F"/>
    <w:rsid w:val="0728596A"/>
    <w:rsid w:val="072B7F76"/>
    <w:rsid w:val="072D67AD"/>
    <w:rsid w:val="072E4FBA"/>
    <w:rsid w:val="072F7FC6"/>
    <w:rsid w:val="0732584E"/>
    <w:rsid w:val="07367B89"/>
    <w:rsid w:val="07390858"/>
    <w:rsid w:val="073E1554"/>
    <w:rsid w:val="073F724E"/>
    <w:rsid w:val="074A627C"/>
    <w:rsid w:val="07512B15"/>
    <w:rsid w:val="07514512"/>
    <w:rsid w:val="075622C6"/>
    <w:rsid w:val="075A7EF6"/>
    <w:rsid w:val="076202A2"/>
    <w:rsid w:val="07653481"/>
    <w:rsid w:val="07666F25"/>
    <w:rsid w:val="076A2A73"/>
    <w:rsid w:val="076F7D7E"/>
    <w:rsid w:val="07743A15"/>
    <w:rsid w:val="077820A7"/>
    <w:rsid w:val="07994C0A"/>
    <w:rsid w:val="07A50AFC"/>
    <w:rsid w:val="07AA7EA9"/>
    <w:rsid w:val="07AE506C"/>
    <w:rsid w:val="07C22AAD"/>
    <w:rsid w:val="07C3764D"/>
    <w:rsid w:val="07C62928"/>
    <w:rsid w:val="07C7208E"/>
    <w:rsid w:val="07D3662C"/>
    <w:rsid w:val="07D94F88"/>
    <w:rsid w:val="07E268EA"/>
    <w:rsid w:val="07F66AC5"/>
    <w:rsid w:val="07FF6240"/>
    <w:rsid w:val="080D0A67"/>
    <w:rsid w:val="081F449B"/>
    <w:rsid w:val="08231A9D"/>
    <w:rsid w:val="082A0972"/>
    <w:rsid w:val="082E78FB"/>
    <w:rsid w:val="08336294"/>
    <w:rsid w:val="0833764C"/>
    <w:rsid w:val="08380F8C"/>
    <w:rsid w:val="083B4078"/>
    <w:rsid w:val="08420A81"/>
    <w:rsid w:val="084677D5"/>
    <w:rsid w:val="0848005E"/>
    <w:rsid w:val="084B1A9E"/>
    <w:rsid w:val="084C657D"/>
    <w:rsid w:val="084D12F0"/>
    <w:rsid w:val="084F7150"/>
    <w:rsid w:val="086F3665"/>
    <w:rsid w:val="0876437B"/>
    <w:rsid w:val="087B6B61"/>
    <w:rsid w:val="087E40F9"/>
    <w:rsid w:val="0885414B"/>
    <w:rsid w:val="088C2326"/>
    <w:rsid w:val="08916AA8"/>
    <w:rsid w:val="089F664F"/>
    <w:rsid w:val="08A203F3"/>
    <w:rsid w:val="08AF00C1"/>
    <w:rsid w:val="08B013D3"/>
    <w:rsid w:val="08B531C0"/>
    <w:rsid w:val="08BB1078"/>
    <w:rsid w:val="08BD1F16"/>
    <w:rsid w:val="08D30FEA"/>
    <w:rsid w:val="08D53034"/>
    <w:rsid w:val="08DA28B3"/>
    <w:rsid w:val="08DD2BEF"/>
    <w:rsid w:val="08E10D07"/>
    <w:rsid w:val="08E67BE0"/>
    <w:rsid w:val="08E8202A"/>
    <w:rsid w:val="08EB433E"/>
    <w:rsid w:val="08EE7481"/>
    <w:rsid w:val="08EF21C5"/>
    <w:rsid w:val="08F445A7"/>
    <w:rsid w:val="08F536BA"/>
    <w:rsid w:val="08FF0187"/>
    <w:rsid w:val="0903652D"/>
    <w:rsid w:val="0903773F"/>
    <w:rsid w:val="090556C6"/>
    <w:rsid w:val="09097FE0"/>
    <w:rsid w:val="09104BF5"/>
    <w:rsid w:val="09104DCD"/>
    <w:rsid w:val="09176C6D"/>
    <w:rsid w:val="092060A3"/>
    <w:rsid w:val="09336C26"/>
    <w:rsid w:val="094C40B4"/>
    <w:rsid w:val="094E3C0B"/>
    <w:rsid w:val="095216D9"/>
    <w:rsid w:val="0959573C"/>
    <w:rsid w:val="095E38C5"/>
    <w:rsid w:val="095F4CFB"/>
    <w:rsid w:val="09606948"/>
    <w:rsid w:val="09673034"/>
    <w:rsid w:val="096C2283"/>
    <w:rsid w:val="096E0D4F"/>
    <w:rsid w:val="09736AE0"/>
    <w:rsid w:val="097F70D9"/>
    <w:rsid w:val="09884131"/>
    <w:rsid w:val="098A59EA"/>
    <w:rsid w:val="098F25F4"/>
    <w:rsid w:val="099173BB"/>
    <w:rsid w:val="099377E9"/>
    <w:rsid w:val="09951645"/>
    <w:rsid w:val="09A028E1"/>
    <w:rsid w:val="09A542A7"/>
    <w:rsid w:val="09C53B70"/>
    <w:rsid w:val="09C6036B"/>
    <w:rsid w:val="09C65031"/>
    <w:rsid w:val="09DE12BD"/>
    <w:rsid w:val="09E30E5D"/>
    <w:rsid w:val="09E92511"/>
    <w:rsid w:val="09F36DB9"/>
    <w:rsid w:val="09FE161D"/>
    <w:rsid w:val="09FE7278"/>
    <w:rsid w:val="0A037EB3"/>
    <w:rsid w:val="0A0A0DD2"/>
    <w:rsid w:val="0A134329"/>
    <w:rsid w:val="0A143BE1"/>
    <w:rsid w:val="0A286DFB"/>
    <w:rsid w:val="0A2B74C4"/>
    <w:rsid w:val="0A36289E"/>
    <w:rsid w:val="0A433A17"/>
    <w:rsid w:val="0A4F6643"/>
    <w:rsid w:val="0A5164D1"/>
    <w:rsid w:val="0A537B69"/>
    <w:rsid w:val="0A547FFB"/>
    <w:rsid w:val="0A66421F"/>
    <w:rsid w:val="0A6C43DE"/>
    <w:rsid w:val="0A734C6C"/>
    <w:rsid w:val="0A7B02ED"/>
    <w:rsid w:val="0A9318B7"/>
    <w:rsid w:val="0AA438A7"/>
    <w:rsid w:val="0AB64743"/>
    <w:rsid w:val="0ABC02E8"/>
    <w:rsid w:val="0AC16484"/>
    <w:rsid w:val="0AC40EAB"/>
    <w:rsid w:val="0ACB2015"/>
    <w:rsid w:val="0AD20D5E"/>
    <w:rsid w:val="0AD30517"/>
    <w:rsid w:val="0AD555AC"/>
    <w:rsid w:val="0AED24FC"/>
    <w:rsid w:val="0AEE4CA7"/>
    <w:rsid w:val="0AF93041"/>
    <w:rsid w:val="0AFF2EBF"/>
    <w:rsid w:val="0B0F4A80"/>
    <w:rsid w:val="0B106A85"/>
    <w:rsid w:val="0B1B1997"/>
    <w:rsid w:val="0B241B7B"/>
    <w:rsid w:val="0B24532C"/>
    <w:rsid w:val="0B3256C9"/>
    <w:rsid w:val="0B36152E"/>
    <w:rsid w:val="0B3F6621"/>
    <w:rsid w:val="0B4D08B6"/>
    <w:rsid w:val="0B4D2A88"/>
    <w:rsid w:val="0B5275D3"/>
    <w:rsid w:val="0B527B25"/>
    <w:rsid w:val="0B5E0983"/>
    <w:rsid w:val="0B67300E"/>
    <w:rsid w:val="0B6A4840"/>
    <w:rsid w:val="0B707256"/>
    <w:rsid w:val="0B7129F9"/>
    <w:rsid w:val="0B742378"/>
    <w:rsid w:val="0B744B6D"/>
    <w:rsid w:val="0B7838CA"/>
    <w:rsid w:val="0B796C7B"/>
    <w:rsid w:val="0B7E60C9"/>
    <w:rsid w:val="0B8730CC"/>
    <w:rsid w:val="0B8B60FC"/>
    <w:rsid w:val="0B917A10"/>
    <w:rsid w:val="0B927AF3"/>
    <w:rsid w:val="0B994E16"/>
    <w:rsid w:val="0BA069F6"/>
    <w:rsid w:val="0BA17AF5"/>
    <w:rsid w:val="0BB6397D"/>
    <w:rsid w:val="0BB64746"/>
    <w:rsid w:val="0BB80875"/>
    <w:rsid w:val="0BE05B3D"/>
    <w:rsid w:val="0BE734A5"/>
    <w:rsid w:val="0BEF4F2C"/>
    <w:rsid w:val="0BF03462"/>
    <w:rsid w:val="0BF56721"/>
    <w:rsid w:val="0BFE233D"/>
    <w:rsid w:val="0C033979"/>
    <w:rsid w:val="0C065F88"/>
    <w:rsid w:val="0C165A64"/>
    <w:rsid w:val="0C1A3B45"/>
    <w:rsid w:val="0C1B40EA"/>
    <w:rsid w:val="0C34437F"/>
    <w:rsid w:val="0C372177"/>
    <w:rsid w:val="0C4363BF"/>
    <w:rsid w:val="0C485EB3"/>
    <w:rsid w:val="0C4C0A20"/>
    <w:rsid w:val="0C4C650C"/>
    <w:rsid w:val="0C5161F8"/>
    <w:rsid w:val="0C52360D"/>
    <w:rsid w:val="0C5919D1"/>
    <w:rsid w:val="0C5A4961"/>
    <w:rsid w:val="0C717078"/>
    <w:rsid w:val="0C7C1976"/>
    <w:rsid w:val="0C7F638D"/>
    <w:rsid w:val="0C84355F"/>
    <w:rsid w:val="0C853374"/>
    <w:rsid w:val="0C881416"/>
    <w:rsid w:val="0C89627C"/>
    <w:rsid w:val="0C8A08C2"/>
    <w:rsid w:val="0C9040A9"/>
    <w:rsid w:val="0CA556FA"/>
    <w:rsid w:val="0CA8228E"/>
    <w:rsid w:val="0CAA3B0C"/>
    <w:rsid w:val="0CAC6DE2"/>
    <w:rsid w:val="0CBA5E3E"/>
    <w:rsid w:val="0CC5327E"/>
    <w:rsid w:val="0CC82BF8"/>
    <w:rsid w:val="0CCB3B11"/>
    <w:rsid w:val="0CD42BD6"/>
    <w:rsid w:val="0CD86E5F"/>
    <w:rsid w:val="0CDE55BC"/>
    <w:rsid w:val="0CDF3914"/>
    <w:rsid w:val="0CE307A8"/>
    <w:rsid w:val="0CEA2CF7"/>
    <w:rsid w:val="0CF15FB4"/>
    <w:rsid w:val="0CFA5129"/>
    <w:rsid w:val="0CFF59E2"/>
    <w:rsid w:val="0D035130"/>
    <w:rsid w:val="0D23336E"/>
    <w:rsid w:val="0D23604C"/>
    <w:rsid w:val="0D284B82"/>
    <w:rsid w:val="0D2A42A8"/>
    <w:rsid w:val="0D343FE9"/>
    <w:rsid w:val="0D3A5239"/>
    <w:rsid w:val="0D3A7039"/>
    <w:rsid w:val="0D3B575C"/>
    <w:rsid w:val="0D3F457E"/>
    <w:rsid w:val="0D4356A8"/>
    <w:rsid w:val="0D482414"/>
    <w:rsid w:val="0D501A6D"/>
    <w:rsid w:val="0D636B53"/>
    <w:rsid w:val="0D7924F2"/>
    <w:rsid w:val="0D7E2680"/>
    <w:rsid w:val="0D7F305A"/>
    <w:rsid w:val="0D825026"/>
    <w:rsid w:val="0D8735F9"/>
    <w:rsid w:val="0D8972A3"/>
    <w:rsid w:val="0D8C5235"/>
    <w:rsid w:val="0D90652D"/>
    <w:rsid w:val="0D94436C"/>
    <w:rsid w:val="0D980C13"/>
    <w:rsid w:val="0DA05490"/>
    <w:rsid w:val="0DA6218E"/>
    <w:rsid w:val="0DAA352B"/>
    <w:rsid w:val="0DAA386D"/>
    <w:rsid w:val="0DB13C44"/>
    <w:rsid w:val="0DB40989"/>
    <w:rsid w:val="0DB607B8"/>
    <w:rsid w:val="0DC22600"/>
    <w:rsid w:val="0DC51AC4"/>
    <w:rsid w:val="0DC63EF2"/>
    <w:rsid w:val="0DD75C5E"/>
    <w:rsid w:val="0DDF78C5"/>
    <w:rsid w:val="0DE9579A"/>
    <w:rsid w:val="0DFF4B13"/>
    <w:rsid w:val="0E072991"/>
    <w:rsid w:val="0E093416"/>
    <w:rsid w:val="0E2D4DCF"/>
    <w:rsid w:val="0E310944"/>
    <w:rsid w:val="0E402695"/>
    <w:rsid w:val="0E407280"/>
    <w:rsid w:val="0E444273"/>
    <w:rsid w:val="0E537A16"/>
    <w:rsid w:val="0E5F228B"/>
    <w:rsid w:val="0E673CAF"/>
    <w:rsid w:val="0E6B4543"/>
    <w:rsid w:val="0E6F2E1A"/>
    <w:rsid w:val="0E777792"/>
    <w:rsid w:val="0E797961"/>
    <w:rsid w:val="0E7B0F71"/>
    <w:rsid w:val="0E7B1FCA"/>
    <w:rsid w:val="0E7F539E"/>
    <w:rsid w:val="0E880E39"/>
    <w:rsid w:val="0E8912B7"/>
    <w:rsid w:val="0E90216E"/>
    <w:rsid w:val="0E9D025B"/>
    <w:rsid w:val="0EA3277B"/>
    <w:rsid w:val="0EA8225F"/>
    <w:rsid w:val="0EAA24D5"/>
    <w:rsid w:val="0EAB2800"/>
    <w:rsid w:val="0EB12E2A"/>
    <w:rsid w:val="0EBD20F5"/>
    <w:rsid w:val="0EC65418"/>
    <w:rsid w:val="0ECC3103"/>
    <w:rsid w:val="0ED01837"/>
    <w:rsid w:val="0ED33A29"/>
    <w:rsid w:val="0EF36922"/>
    <w:rsid w:val="0EF848CF"/>
    <w:rsid w:val="0EF97174"/>
    <w:rsid w:val="0F021563"/>
    <w:rsid w:val="0F0F3D45"/>
    <w:rsid w:val="0F101E08"/>
    <w:rsid w:val="0F180250"/>
    <w:rsid w:val="0F1E7781"/>
    <w:rsid w:val="0F2550AA"/>
    <w:rsid w:val="0F255367"/>
    <w:rsid w:val="0F266A1B"/>
    <w:rsid w:val="0F2B146F"/>
    <w:rsid w:val="0F2C208C"/>
    <w:rsid w:val="0F2F36F8"/>
    <w:rsid w:val="0F350DC2"/>
    <w:rsid w:val="0F364A84"/>
    <w:rsid w:val="0F3A116B"/>
    <w:rsid w:val="0F3E448E"/>
    <w:rsid w:val="0F4C6463"/>
    <w:rsid w:val="0F4F25A5"/>
    <w:rsid w:val="0F511411"/>
    <w:rsid w:val="0F623D06"/>
    <w:rsid w:val="0F672818"/>
    <w:rsid w:val="0F6E793C"/>
    <w:rsid w:val="0F703346"/>
    <w:rsid w:val="0F7045F6"/>
    <w:rsid w:val="0F7D6388"/>
    <w:rsid w:val="0F80004E"/>
    <w:rsid w:val="0F871EAB"/>
    <w:rsid w:val="0F911B7D"/>
    <w:rsid w:val="0F914EB6"/>
    <w:rsid w:val="0F9F1528"/>
    <w:rsid w:val="0FA6689D"/>
    <w:rsid w:val="0FCE1A0C"/>
    <w:rsid w:val="0FD5234F"/>
    <w:rsid w:val="0FDF1FAE"/>
    <w:rsid w:val="0FDF5A14"/>
    <w:rsid w:val="1008703A"/>
    <w:rsid w:val="100F744C"/>
    <w:rsid w:val="10126FBC"/>
    <w:rsid w:val="101A497B"/>
    <w:rsid w:val="102925AB"/>
    <w:rsid w:val="10332C89"/>
    <w:rsid w:val="103809FF"/>
    <w:rsid w:val="103F53B9"/>
    <w:rsid w:val="10475998"/>
    <w:rsid w:val="104D1467"/>
    <w:rsid w:val="10655CF3"/>
    <w:rsid w:val="10750A53"/>
    <w:rsid w:val="10764104"/>
    <w:rsid w:val="108230A5"/>
    <w:rsid w:val="10854519"/>
    <w:rsid w:val="10895A07"/>
    <w:rsid w:val="108C64EF"/>
    <w:rsid w:val="108E184F"/>
    <w:rsid w:val="10925EE1"/>
    <w:rsid w:val="1096068D"/>
    <w:rsid w:val="109A5954"/>
    <w:rsid w:val="109B5053"/>
    <w:rsid w:val="10A774A5"/>
    <w:rsid w:val="10B951CF"/>
    <w:rsid w:val="10BA53FD"/>
    <w:rsid w:val="10BB3068"/>
    <w:rsid w:val="10C162E7"/>
    <w:rsid w:val="10C23AFA"/>
    <w:rsid w:val="10CA24C8"/>
    <w:rsid w:val="10D254AD"/>
    <w:rsid w:val="10D82C05"/>
    <w:rsid w:val="10D9440E"/>
    <w:rsid w:val="10DF078E"/>
    <w:rsid w:val="10ED1424"/>
    <w:rsid w:val="10F077CB"/>
    <w:rsid w:val="10FF2114"/>
    <w:rsid w:val="110B7786"/>
    <w:rsid w:val="110E3EB6"/>
    <w:rsid w:val="110E4F41"/>
    <w:rsid w:val="111009CE"/>
    <w:rsid w:val="111161D4"/>
    <w:rsid w:val="11131D94"/>
    <w:rsid w:val="111676F8"/>
    <w:rsid w:val="111778A8"/>
    <w:rsid w:val="111E4B32"/>
    <w:rsid w:val="1124277B"/>
    <w:rsid w:val="112819CF"/>
    <w:rsid w:val="112B1CBF"/>
    <w:rsid w:val="11330E6A"/>
    <w:rsid w:val="11387C3E"/>
    <w:rsid w:val="113D59D7"/>
    <w:rsid w:val="11421E5E"/>
    <w:rsid w:val="114C276E"/>
    <w:rsid w:val="114C73CD"/>
    <w:rsid w:val="114E2D76"/>
    <w:rsid w:val="115031A6"/>
    <w:rsid w:val="115958E8"/>
    <w:rsid w:val="11597885"/>
    <w:rsid w:val="11617971"/>
    <w:rsid w:val="11622F64"/>
    <w:rsid w:val="116C0AA4"/>
    <w:rsid w:val="116F4939"/>
    <w:rsid w:val="117D3AAA"/>
    <w:rsid w:val="11846297"/>
    <w:rsid w:val="118660F9"/>
    <w:rsid w:val="11941792"/>
    <w:rsid w:val="11954FC8"/>
    <w:rsid w:val="119B169F"/>
    <w:rsid w:val="119C664F"/>
    <w:rsid w:val="11AD4D58"/>
    <w:rsid w:val="11B209BB"/>
    <w:rsid w:val="11B3214E"/>
    <w:rsid w:val="11B67206"/>
    <w:rsid w:val="11BA4661"/>
    <w:rsid w:val="11BA6A1A"/>
    <w:rsid w:val="11C62E17"/>
    <w:rsid w:val="11D87DEA"/>
    <w:rsid w:val="11E3621C"/>
    <w:rsid w:val="11E411C4"/>
    <w:rsid w:val="11E64356"/>
    <w:rsid w:val="11EE75FC"/>
    <w:rsid w:val="11F45ACC"/>
    <w:rsid w:val="11FA2349"/>
    <w:rsid w:val="11FD69BF"/>
    <w:rsid w:val="11FE23CE"/>
    <w:rsid w:val="12044AB3"/>
    <w:rsid w:val="12072EB6"/>
    <w:rsid w:val="120D4440"/>
    <w:rsid w:val="120E0A30"/>
    <w:rsid w:val="120E4E60"/>
    <w:rsid w:val="12124AB5"/>
    <w:rsid w:val="121836A1"/>
    <w:rsid w:val="122A5477"/>
    <w:rsid w:val="122D210C"/>
    <w:rsid w:val="12305F01"/>
    <w:rsid w:val="12342A01"/>
    <w:rsid w:val="12380DF7"/>
    <w:rsid w:val="12381464"/>
    <w:rsid w:val="124C4163"/>
    <w:rsid w:val="12533BE9"/>
    <w:rsid w:val="12561EE3"/>
    <w:rsid w:val="125B1CEE"/>
    <w:rsid w:val="126548EE"/>
    <w:rsid w:val="1279795D"/>
    <w:rsid w:val="12817181"/>
    <w:rsid w:val="12913A90"/>
    <w:rsid w:val="129E267E"/>
    <w:rsid w:val="129E41E5"/>
    <w:rsid w:val="12A27BD8"/>
    <w:rsid w:val="12AA4BE9"/>
    <w:rsid w:val="12AD464A"/>
    <w:rsid w:val="12C003F7"/>
    <w:rsid w:val="12C23D3B"/>
    <w:rsid w:val="12C7679B"/>
    <w:rsid w:val="12CB658F"/>
    <w:rsid w:val="12CC34CB"/>
    <w:rsid w:val="12D04177"/>
    <w:rsid w:val="12DD774D"/>
    <w:rsid w:val="12E019FA"/>
    <w:rsid w:val="12E20B88"/>
    <w:rsid w:val="12E85A12"/>
    <w:rsid w:val="12EB04FE"/>
    <w:rsid w:val="12FD3C17"/>
    <w:rsid w:val="13012566"/>
    <w:rsid w:val="13026866"/>
    <w:rsid w:val="13045302"/>
    <w:rsid w:val="1306292B"/>
    <w:rsid w:val="13070994"/>
    <w:rsid w:val="130D494D"/>
    <w:rsid w:val="131F3842"/>
    <w:rsid w:val="13204B9A"/>
    <w:rsid w:val="13333FBE"/>
    <w:rsid w:val="133E4EC4"/>
    <w:rsid w:val="134620E4"/>
    <w:rsid w:val="13502DEE"/>
    <w:rsid w:val="136404F3"/>
    <w:rsid w:val="137256CA"/>
    <w:rsid w:val="137333F8"/>
    <w:rsid w:val="1375696B"/>
    <w:rsid w:val="137E2663"/>
    <w:rsid w:val="1387162D"/>
    <w:rsid w:val="13872125"/>
    <w:rsid w:val="138C47A9"/>
    <w:rsid w:val="13A3756F"/>
    <w:rsid w:val="13AC2F3F"/>
    <w:rsid w:val="13AD48CA"/>
    <w:rsid w:val="13B27809"/>
    <w:rsid w:val="13B61E8E"/>
    <w:rsid w:val="13BA0C00"/>
    <w:rsid w:val="13BB51F5"/>
    <w:rsid w:val="13BD2572"/>
    <w:rsid w:val="13BE1FBB"/>
    <w:rsid w:val="13C23A1B"/>
    <w:rsid w:val="13C76244"/>
    <w:rsid w:val="13C83228"/>
    <w:rsid w:val="13CF28FB"/>
    <w:rsid w:val="13D77258"/>
    <w:rsid w:val="13DA7C15"/>
    <w:rsid w:val="13E26419"/>
    <w:rsid w:val="13E85FE5"/>
    <w:rsid w:val="13EA5E5F"/>
    <w:rsid w:val="13EE312D"/>
    <w:rsid w:val="13FA0609"/>
    <w:rsid w:val="13FF0D0B"/>
    <w:rsid w:val="14107AE9"/>
    <w:rsid w:val="14175E0A"/>
    <w:rsid w:val="141A54F6"/>
    <w:rsid w:val="141F1BA5"/>
    <w:rsid w:val="142A2204"/>
    <w:rsid w:val="143E5D02"/>
    <w:rsid w:val="14400516"/>
    <w:rsid w:val="14446EDD"/>
    <w:rsid w:val="144D5A3C"/>
    <w:rsid w:val="14626158"/>
    <w:rsid w:val="146B26BB"/>
    <w:rsid w:val="146B39B7"/>
    <w:rsid w:val="1472255F"/>
    <w:rsid w:val="14782396"/>
    <w:rsid w:val="148942E3"/>
    <w:rsid w:val="148B031E"/>
    <w:rsid w:val="14917ABA"/>
    <w:rsid w:val="1499627B"/>
    <w:rsid w:val="14A20D3D"/>
    <w:rsid w:val="14AB12B5"/>
    <w:rsid w:val="14AC25B0"/>
    <w:rsid w:val="14AE0BED"/>
    <w:rsid w:val="14AF303C"/>
    <w:rsid w:val="14BE55AD"/>
    <w:rsid w:val="14E00FC5"/>
    <w:rsid w:val="14E21050"/>
    <w:rsid w:val="14E52CFF"/>
    <w:rsid w:val="14E909DB"/>
    <w:rsid w:val="14EE2BDA"/>
    <w:rsid w:val="1502113A"/>
    <w:rsid w:val="15084F99"/>
    <w:rsid w:val="150D2EFA"/>
    <w:rsid w:val="151308D4"/>
    <w:rsid w:val="15195163"/>
    <w:rsid w:val="151E3433"/>
    <w:rsid w:val="15233122"/>
    <w:rsid w:val="15250257"/>
    <w:rsid w:val="15250840"/>
    <w:rsid w:val="15281376"/>
    <w:rsid w:val="152A315A"/>
    <w:rsid w:val="153263DB"/>
    <w:rsid w:val="1534197E"/>
    <w:rsid w:val="1538725F"/>
    <w:rsid w:val="15422545"/>
    <w:rsid w:val="155778C6"/>
    <w:rsid w:val="1561119E"/>
    <w:rsid w:val="156508EF"/>
    <w:rsid w:val="15693006"/>
    <w:rsid w:val="156A5AB1"/>
    <w:rsid w:val="156F154F"/>
    <w:rsid w:val="15716A99"/>
    <w:rsid w:val="157177C3"/>
    <w:rsid w:val="15784D86"/>
    <w:rsid w:val="1581047E"/>
    <w:rsid w:val="15890531"/>
    <w:rsid w:val="15895642"/>
    <w:rsid w:val="159D6224"/>
    <w:rsid w:val="15A210AA"/>
    <w:rsid w:val="15A444EB"/>
    <w:rsid w:val="15AC224C"/>
    <w:rsid w:val="15B0540D"/>
    <w:rsid w:val="15B7532E"/>
    <w:rsid w:val="15C56F14"/>
    <w:rsid w:val="15C84147"/>
    <w:rsid w:val="15CA017F"/>
    <w:rsid w:val="15CF3257"/>
    <w:rsid w:val="15CF5F29"/>
    <w:rsid w:val="15D71AD5"/>
    <w:rsid w:val="15DC38C2"/>
    <w:rsid w:val="15E6213A"/>
    <w:rsid w:val="15F23B4A"/>
    <w:rsid w:val="15FA3003"/>
    <w:rsid w:val="15FC08F6"/>
    <w:rsid w:val="16092E0B"/>
    <w:rsid w:val="160957B4"/>
    <w:rsid w:val="16197D5A"/>
    <w:rsid w:val="16204A74"/>
    <w:rsid w:val="16230EC0"/>
    <w:rsid w:val="162D1072"/>
    <w:rsid w:val="162D39D7"/>
    <w:rsid w:val="16312F69"/>
    <w:rsid w:val="16412E71"/>
    <w:rsid w:val="164442E3"/>
    <w:rsid w:val="1646133C"/>
    <w:rsid w:val="164E5D24"/>
    <w:rsid w:val="165931D9"/>
    <w:rsid w:val="165E065B"/>
    <w:rsid w:val="16632B3C"/>
    <w:rsid w:val="16682D3E"/>
    <w:rsid w:val="166D1325"/>
    <w:rsid w:val="167046E9"/>
    <w:rsid w:val="167E382D"/>
    <w:rsid w:val="168143F4"/>
    <w:rsid w:val="16856960"/>
    <w:rsid w:val="16A5066B"/>
    <w:rsid w:val="16B03058"/>
    <w:rsid w:val="16B278AE"/>
    <w:rsid w:val="16C974D4"/>
    <w:rsid w:val="16CC4D1F"/>
    <w:rsid w:val="16D1481D"/>
    <w:rsid w:val="16D43DC5"/>
    <w:rsid w:val="16DB7C16"/>
    <w:rsid w:val="16DC0535"/>
    <w:rsid w:val="16E14913"/>
    <w:rsid w:val="16ED1AFC"/>
    <w:rsid w:val="16F63089"/>
    <w:rsid w:val="16F65238"/>
    <w:rsid w:val="16F83FBE"/>
    <w:rsid w:val="16F956D8"/>
    <w:rsid w:val="170716B6"/>
    <w:rsid w:val="170C1DA9"/>
    <w:rsid w:val="17187D1E"/>
    <w:rsid w:val="17255D87"/>
    <w:rsid w:val="17315D5C"/>
    <w:rsid w:val="173E08E4"/>
    <w:rsid w:val="17436815"/>
    <w:rsid w:val="17474573"/>
    <w:rsid w:val="1748083E"/>
    <w:rsid w:val="17484F6E"/>
    <w:rsid w:val="174D24DD"/>
    <w:rsid w:val="17505641"/>
    <w:rsid w:val="17553F9F"/>
    <w:rsid w:val="175623CE"/>
    <w:rsid w:val="176538DA"/>
    <w:rsid w:val="177A213A"/>
    <w:rsid w:val="177E7A98"/>
    <w:rsid w:val="178246D4"/>
    <w:rsid w:val="17831116"/>
    <w:rsid w:val="178A309D"/>
    <w:rsid w:val="17914610"/>
    <w:rsid w:val="1794775D"/>
    <w:rsid w:val="17970D3C"/>
    <w:rsid w:val="17972E5A"/>
    <w:rsid w:val="17A24A7D"/>
    <w:rsid w:val="17C376AD"/>
    <w:rsid w:val="17CB4905"/>
    <w:rsid w:val="17D01F3A"/>
    <w:rsid w:val="17DC7DAF"/>
    <w:rsid w:val="17DD1CB2"/>
    <w:rsid w:val="17DF40F7"/>
    <w:rsid w:val="17FE5AF9"/>
    <w:rsid w:val="180224D1"/>
    <w:rsid w:val="1803598D"/>
    <w:rsid w:val="180E4FC5"/>
    <w:rsid w:val="18170B93"/>
    <w:rsid w:val="18171331"/>
    <w:rsid w:val="18243C58"/>
    <w:rsid w:val="182D696E"/>
    <w:rsid w:val="1834520E"/>
    <w:rsid w:val="18376EC9"/>
    <w:rsid w:val="18396192"/>
    <w:rsid w:val="18466B2E"/>
    <w:rsid w:val="184A4BE3"/>
    <w:rsid w:val="185060EC"/>
    <w:rsid w:val="185114D2"/>
    <w:rsid w:val="185A42FA"/>
    <w:rsid w:val="185F480A"/>
    <w:rsid w:val="186829A6"/>
    <w:rsid w:val="186F7ED1"/>
    <w:rsid w:val="18870C54"/>
    <w:rsid w:val="18876205"/>
    <w:rsid w:val="189D2207"/>
    <w:rsid w:val="189D4742"/>
    <w:rsid w:val="189F6908"/>
    <w:rsid w:val="18A211F6"/>
    <w:rsid w:val="18A45C40"/>
    <w:rsid w:val="18B07A8C"/>
    <w:rsid w:val="18B41D16"/>
    <w:rsid w:val="18C87F64"/>
    <w:rsid w:val="18CF589F"/>
    <w:rsid w:val="18D07D4F"/>
    <w:rsid w:val="18D57338"/>
    <w:rsid w:val="18D659D2"/>
    <w:rsid w:val="18D8035B"/>
    <w:rsid w:val="18D82C9E"/>
    <w:rsid w:val="18DA4B91"/>
    <w:rsid w:val="18E83469"/>
    <w:rsid w:val="18E96032"/>
    <w:rsid w:val="18ED162D"/>
    <w:rsid w:val="18EE62E8"/>
    <w:rsid w:val="18EF6677"/>
    <w:rsid w:val="18F2170E"/>
    <w:rsid w:val="18F62584"/>
    <w:rsid w:val="18F65D34"/>
    <w:rsid w:val="18F96461"/>
    <w:rsid w:val="1903629F"/>
    <w:rsid w:val="19116F8E"/>
    <w:rsid w:val="191F13C5"/>
    <w:rsid w:val="192344FC"/>
    <w:rsid w:val="19264669"/>
    <w:rsid w:val="19287C98"/>
    <w:rsid w:val="192F5D97"/>
    <w:rsid w:val="19330066"/>
    <w:rsid w:val="1944527C"/>
    <w:rsid w:val="19492209"/>
    <w:rsid w:val="1950167A"/>
    <w:rsid w:val="19551A74"/>
    <w:rsid w:val="195F7D63"/>
    <w:rsid w:val="19624B24"/>
    <w:rsid w:val="19673A43"/>
    <w:rsid w:val="197C2433"/>
    <w:rsid w:val="197D1062"/>
    <w:rsid w:val="19855C98"/>
    <w:rsid w:val="19933139"/>
    <w:rsid w:val="19976C65"/>
    <w:rsid w:val="19A7610F"/>
    <w:rsid w:val="19AC4F46"/>
    <w:rsid w:val="19B81D23"/>
    <w:rsid w:val="19BB1243"/>
    <w:rsid w:val="19BB1467"/>
    <w:rsid w:val="19BB7BD9"/>
    <w:rsid w:val="19BE29BF"/>
    <w:rsid w:val="19C737BC"/>
    <w:rsid w:val="19D22AB0"/>
    <w:rsid w:val="19D25AEF"/>
    <w:rsid w:val="19D57461"/>
    <w:rsid w:val="19D8171A"/>
    <w:rsid w:val="19E70437"/>
    <w:rsid w:val="19E74602"/>
    <w:rsid w:val="19EE7D0B"/>
    <w:rsid w:val="19F8221D"/>
    <w:rsid w:val="19FB6BA4"/>
    <w:rsid w:val="19FF7B89"/>
    <w:rsid w:val="1A032E1D"/>
    <w:rsid w:val="1A077D86"/>
    <w:rsid w:val="1A085685"/>
    <w:rsid w:val="1A0F7176"/>
    <w:rsid w:val="1A1328F7"/>
    <w:rsid w:val="1A191F3E"/>
    <w:rsid w:val="1A1F0393"/>
    <w:rsid w:val="1A2244B6"/>
    <w:rsid w:val="1A25452E"/>
    <w:rsid w:val="1A285C6E"/>
    <w:rsid w:val="1A3417B8"/>
    <w:rsid w:val="1A34568A"/>
    <w:rsid w:val="1A3B0B4F"/>
    <w:rsid w:val="1A4B5CA1"/>
    <w:rsid w:val="1A5163D6"/>
    <w:rsid w:val="1A5204BD"/>
    <w:rsid w:val="1A54768F"/>
    <w:rsid w:val="1A5A669E"/>
    <w:rsid w:val="1A615557"/>
    <w:rsid w:val="1A796C32"/>
    <w:rsid w:val="1A7C7103"/>
    <w:rsid w:val="1A807D07"/>
    <w:rsid w:val="1A9465A6"/>
    <w:rsid w:val="1A956BC9"/>
    <w:rsid w:val="1A994BDC"/>
    <w:rsid w:val="1AA35A80"/>
    <w:rsid w:val="1AA56A7F"/>
    <w:rsid w:val="1AAB563E"/>
    <w:rsid w:val="1AB36C5E"/>
    <w:rsid w:val="1AB60EBE"/>
    <w:rsid w:val="1AB8636E"/>
    <w:rsid w:val="1AB9028C"/>
    <w:rsid w:val="1AC56317"/>
    <w:rsid w:val="1ACD54DC"/>
    <w:rsid w:val="1AD365C4"/>
    <w:rsid w:val="1AD6319E"/>
    <w:rsid w:val="1AE71668"/>
    <w:rsid w:val="1AE952DE"/>
    <w:rsid w:val="1AF96C7B"/>
    <w:rsid w:val="1B0074DF"/>
    <w:rsid w:val="1B0A08B9"/>
    <w:rsid w:val="1B1075FD"/>
    <w:rsid w:val="1B167885"/>
    <w:rsid w:val="1B231A16"/>
    <w:rsid w:val="1B4B651F"/>
    <w:rsid w:val="1B5A7540"/>
    <w:rsid w:val="1B5D1B68"/>
    <w:rsid w:val="1B6848B0"/>
    <w:rsid w:val="1B777BC9"/>
    <w:rsid w:val="1B7D10D5"/>
    <w:rsid w:val="1B8D6B92"/>
    <w:rsid w:val="1B8F3C2A"/>
    <w:rsid w:val="1B905028"/>
    <w:rsid w:val="1B936CD6"/>
    <w:rsid w:val="1B990279"/>
    <w:rsid w:val="1B9B4E1C"/>
    <w:rsid w:val="1B9C50E9"/>
    <w:rsid w:val="1BAA5FDD"/>
    <w:rsid w:val="1BAD4429"/>
    <w:rsid w:val="1BB80557"/>
    <w:rsid w:val="1BB9458C"/>
    <w:rsid w:val="1BBB45CD"/>
    <w:rsid w:val="1BBC1606"/>
    <w:rsid w:val="1BC564C2"/>
    <w:rsid w:val="1BCB2744"/>
    <w:rsid w:val="1BD24284"/>
    <w:rsid w:val="1BD91A80"/>
    <w:rsid w:val="1BE641ED"/>
    <w:rsid w:val="1BF14560"/>
    <w:rsid w:val="1BF24F3D"/>
    <w:rsid w:val="1BF95C69"/>
    <w:rsid w:val="1C054410"/>
    <w:rsid w:val="1C0C3217"/>
    <w:rsid w:val="1C101BF2"/>
    <w:rsid w:val="1C1D36F1"/>
    <w:rsid w:val="1C221FBB"/>
    <w:rsid w:val="1C247D0B"/>
    <w:rsid w:val="1C291BAA"/>
    <w:rsid w:val="1C2A3A57"/>
    <w:rsid w:val="1C2A5B45"/>
    <w:rsid w:val="1C384560"/>
    <w:rsid w:val="1C386892"/>
    <w:rsid w:val="1C4A05F8"/>
    <w:rsid w:val="1C4A2683"/>
    <w:rsid w:val="1C5D7BFA"/>
    <w:rsid w:val="1C5E6C62"/>
    <w:rsid w:val="1C5F292D"/>
    <w:rsid w:val="1C5F3B2B"/>
    <w:rsid w:val="1C5F5715"/>
    <w:rsid w:val="1C631E26"/>
    <w:rsid w:val="1C6F10B8"/>
    <w:rsid w:val="1C7530BF"/>
    <w:rsid w:val="1C767D58"/>
    <w:rsid w:val="1C883589"/>
    <w:rsid w:val="1C961365"/>
    <w:rsid w:val="1C9E6316"/>
    <w:rsid w:val="1CA23F30"/>
    <w:rsid w:val="1CAB7398"/>
    <w:rsid w:val="1CAE6FAD"/>
    <w:rsid w:val="1CBC5611"/>
    <w:rsid w:val="1CD22BC7"/>
    <w:rsid w:val="1CD22EF6"/>
    <w:rsid w:val="1CD7177C"/>
    <w:rsid w:val="1CDB3711"/>
    <w:rsid w:val="1CDE68ED"/>
    <w:rsid w:val="1CDF62F9"/>
    <w:rsid w:val="1CE14471"/>
    <w:rsid w:val="1CE95E52"/>
    <w:rsid w:val="1CEB1B8C"/>
    <w:rsid w:val="1CEF02A3"/>
    <w:rsid w:val="1CEF7D99"/>
    <w:rsid w:val="1CF005FD"/>
    <w:rsid w:val="1CF53A0D"/>
    <w:rsid w:val="1CF6531E"/>
    <w:rsid w:val="1CF73467"/>
    <w:rsid w:val="1D0A5C6D"/>
    <w:rsid w:val="1D0B195E"/>
    <w:rsid w:val="1D0B19B3"/>
    <w:rsid w:val="1D0D3A6E"/>
    <w:rsid w:val="1D1E3E53"/>
    <w:rsid w:val="1D211429"/>
    <w:rsid w:val="1D22539B"/>
    <w:rsid w:val="1D244763"/>
    <w:rsid w:val="1D2942F8"/>
    <w:rsid w:val="1D322C6A"/>
    <w:rsid w:val="1D3570D5"/>
    <w:rsid w:val="1D3D4708"/>
    <w:rsid w:val="1D48400E"/>
    <w:rsid w:val="1D4E0EB2"/>
    <w:rsid w:val="1D5255A7"/>
    <w:rsid w:val="1D54652C"/>
    <w:rsid w:val="1D5A2F24"/>
    <w:rsid w:val="1D5C683A"/>
    <w:rsid w:val="1D693FA7"/>
    <w:rsid w:val="1D7A0BDC"/>
    <w:rsid w:val="1D7B406F"/>
    <w:rsid w:val="1D855C9C"/>
    <w:rsid w:val="1D8F4E65"/>
    <w:rsid w:val="1D953084"/>
    <w:rsid w:val="1D977656"/>
    <w:rsid w:val="1DB553DF"/>
    <w:rsid w:val="1DB94157"/>
    <w:rsid w:val="1DBE0A9D"/>
    <w:rsid w:val="1DBF1882"/>
    <w:rsid w:val="1DC964EA"/>
    <w:rsid w:val="1DCE009D"/>
    <w:rsid w:val="1DCE65F7"/>
    <w:rsid w:val="1DD73282"/>
    <w:rsid w:val="1DDB7496"/>
    <w:rsid w:val="1DE366AE"/>
    <w:rsid w:val="1DE44254"/>
    <w:rsid w:val="1DE82342"/>
    <w:rsid w:val="1DF04BC7"/>
    <w:rsid w:val="1DF17BE1"/>
    <w:rsid w:val="1E114BF6"/>
    <w:rsid w:val="1E1660FE"/>
    <w:rsid w:val="1E1A0A43"/>
    <w:rsid w:val="1E394EB8"/>
    <w:rsid w:val="1E3A10AF"/>
    <w:rsid w:val="1E3A3326"/>
    <w:rsid w:val="1E4719A3"/>
    <w:rsid w:val="1E4F3151"/>
    <w:rsid w:val="1E520582"/>
    <w:rsid w:val="1E5F1F97"/>
    <w:rsid w:val="1E6C5F4E"/>
    <w:rsid w:val="1E773774"/>
    <w:rsid w:val="1E7C74D7"/>
    <w:rsid w:val="1E841CFD"/>
    <w:rsid w:val="1E875401"/>
    <w:rsid w:val="1E8C02E0"/>
    <w:rsid w:val="1E976557"/>
    <w:rsid w:val="1EA1074C"/>
    <w:rsid w:val="1EA65561"/>
    <w:rsid w:val="1EA6684B"/>
    <w:rsid w:val="1EAD4127"/>
    <w:rsid w:val="1EB70BD9"/>
    <w:rsid w:val="1EB8797A"/>
    <w:rsid w:val="1EB90933"/>
    <w:rsid w:val="1ECD2A6D"/>
    <w:rsid w:val="1ECD4FF5"/>
    <w:rsid w:val="1ED1216C"/>
    <w:rsid w:val="1ED150F7"/>
    <w:rsid w:val="1ED40A6E"/>
    <w:rsid w:val="1EE06E00"/>
    <w:rsid w:val="1EEC719E"/>
    <w:rsid w:val="1EF7018A"/>
    <w:rsid w:val="1EF76F5D"/>
    <w:rsid w:val="1EFB097E"/>
    <w:rsid w:val="1F0242AA"/>
    <w:rsid w:val="1F044236"/>
    <w:rsid w:val="1F175000"/>
    <w:rsid w:val="1F1F2D3D"/>
    <w:rsid w:val="1F25251D"/>
    <w:rsid w:val="1F2B5438"/>
    <w:rsid w:val="1F2F41FD"/>
    <w:rsid w:val="1F332069"/>
    <w:rsid w:val="1F390590"/>
    <w:rsid w:val="1F397998"/>
    <w:rsid w:val="1F3E5153"/>
    <w:rsid w:val="1F424A01"/>
    <w:rsid w:val="1F447919"/>
    <w:rsid w:val="1F484B9B"/>
    <w:rsid w:val="1F48770A"/>
    <w:rsid w:val="1F4C6748"/>
    <w:rsid w:val="1F543A73"/>
    <w:rsid w:val="1F562300"/>
    <w:rsid w:val="1F582479"/>
    <w:rsid w:val="1F595467"/>
    <w:rsid w:val="1F5B2F4F"/>
    <w:rsid w:val="1F5C06A1"/>
    <w:rsid w:val="1F666570"/>
    <w:rsid w:val="1F6F7CBE"/>
    <w:rsid w:val="1F7C1719"/>
    <w:rsid w:val="1F863BE0"/>
    <w:rsid w:val="1F8D0D05"/>
    <w:rsid w:val="1FA4548A"/>
    <w:rsid w:val="1FA85442"/>
    <w:rsid w:val="1FAA5B6D"/>
    <w:rsid w:val="1FAD7CA5"/>
    <w:rsid w:val="1FB80942"/>
    <w:rsid w:val="1FBB5482"/>
    <w:rsid w:val="1FC73DB2"/>
    <w:rsid w:val="1FDE52AF"/>
    <w:rsid w:val="1FE537F0"/>
    <w:rsid w:val="2001262E"/>
    <w:rsid w:val="200D64BE"/>
    <w:rsid w:val="20153599"/>
    <w:rsid w:val="201A32E0"/>
    <w:rsid w:val="201B2789"/>
    <w:rsid w:val="201F4440"/>
    <w:rsid w:val="20256516"/>
    <w:rsid w:val="202F579D"/>
    <w:rsid w:val="203D1FD4"/>
    <w:rsid w:val="204C44A6"/>
    <w:rsid w:val="20584BED"/>
    <w:rsid w:val="20916684"/>
    <w:rsid w:val="20954B01"/>
    <w:rsid w:val="20A944F4"/>
    <w:rsid w:val="20AC4C11"/>
    <w:rsid w:val="20B2309F"/>
    <w:rsid w:val="20D60AAE"/>
    <w:rsid w:val="20D84C43"/>
    <w:rsid w:val="20DE5B9D"/>
    <w:rsid w:val="20DF61AB"/>
    <w:rsid w:val="20F5066D"/>
    <w:rsid w:val="20F9606D"/>
    <w:rsid w:val="21015824"/>
    <w:rsid w:val="21061BA2"/>
    <w:rsid w:val="21132913"/>
    <w:rsid w:val="21183943"/>
    <w:rsid w:val="211B57FD"/>
    <w:rsid w:val="211B79D8"/>
    <w:rsid w:val="2121427E"/>
    <w:rsid w:val="21262CBA"/>
    <w:rsid w:val="212B1C97"/>
    <w:rsid w:val="212C6029"/>
    <w:rsid w:val="212F35F6"/>
    <w:rsid w:val="21361FB5"/>
    <w:rsid w:val="214B3D89"/>
    <w:rsid w:val="21541268"/>
    <w:rsid w:val="21575426"/>
    <w:rsid w:val="215C1F77"/>
    <w:rsid w:val="216E0E33"/>
    <w:rsid w:val="216E2BD2"/>
    <w:rsid w:val="217414EF"/>
    <w:rsid w:val="21750104"/>
    <w:rsid w:val="217554C8"/>
    <w:rsid w:val="2177769E"/>
    <w:rsid w:val="217E1DFE"/>
    <w:rsid w:val="21881496"/>
    <w:rsid w:val="218D58E2"/>
    <w:rsid w:val="219723DC"/>
    <w:rsid w:val="219D0C9D"/>
    <w:rsid w:val="21B15C0A"/>
    <w:rsid w:val="21BA22E9"/>
    <w:rsid w:val="21C249F4"/>
    <w:rsid w:val="21C35D68"/>
    <w:rsid w:val="21D25FF2"/>
    <w:rsid w:val="21E056C0"/>
    <w:rsid w:val="21E2346F"/>
    <w:rsid w:val="21EF4908"/>
    <w:rsid w:val="21F70210"/>
    <w:rsid w:val="21FB6ACC"/>
    <w:rsid w:val="220049A4"/>
    <w:rsid w:val="2200577E"/>
    <w:rsid w:val="22105252"/>
    <w:rsid w:val="22322466"/>
    <w:rsid w:val="22325D48"/>
    <w:rsid w:val="22344A9E"/>
    <w:rsid w:val="22344E83"/>
    <w:rsid w:val="223552C7"/>
    <w:rsid w:val="22363269"/>
    <w:rsid w:val="22367B67"/>
    <w:rsid w:val="223C2DAF"/>
    <w:rsid w:val="223E2651"/>
    <w:rsid w:val="224E2864"/>
    <w:rsid w:val="224E39C0"/>
    <w:rsid w:val="2250123D"/>
    <w:rsid w:val="22597779"/>
    <w:rsid w:val="226575C4"/>
    <w:rsid w:val="22682C5C"/>
    <w:rsid w:val="226D3EEA"/>
    <w:rsid w:val="226E077B"/>
    <w:rsid w:val="227043ED"/>
    <w:rsid w:val="228823DF"/>
    <w:rsid w:val="22917BBE"/>
    <w:rsid w:val="22923DE9"/>
    <w:rsid w:val="22973417"/>
    <w:rsid w:val="229D5794"/>
    <w:rsid w:val="22B83E1E"/>
    <w:rsid w:val="22BF3D00"/>
    <w:rsid w:val="22C10F34"/>
    <w:rsid w:val="22C1459E"/>
    <w:rsid w:val="22C16F92"/>
    <w:rsid w:val="22C17DB5"/>
    <w:rsid w:val="22C629AC"/>
    <w:rsid w:val="22CB01D1"/>
    <w:rsid w:val="22CE6ADD"/>
    <w:rsid w:val="22D80BF5"/>
    <w:rsid w:val="22DD27AA"/>
    <w:rsid w:val="22E719EF"/>
    <w:rsid w:val="22E96F92"/>
    <w:rsid w:val="22F34A05"/>
    <w:rsid w:val="22F66168"/>
    <w:rsid w:val="22F870EC"/>
    <w:rsid w:val="23032953"/>
    <w:rsid w:val="23060CEA"/>
    <w:rsid w:val="23085EFE"/>
    <w:rsid w:val="230D3451"/>
    <w:rsid w:val="230E5678"/>
    <w:rsid w:val="231074AE"/>
    <w:rsid w:val="23241271"/>
    <w:rsid w:val="23257653"/>
    <w:rsid w:val="233C2C53"/>
    <w:rsid w:val="234057AC"/>
    <w:rsid w:val="23441FFA"/>
    <w:rsid w:val="23490758"/>
    <w:rsid w:val="234B3276"/>
    <w:rsid w:val="234D0079"/>
    <w:rsid w:val="23573ECC"/>
    <w:rsid w:val="23626B1C"/>
    <w:rsid w:val="236C3F29"/>
    <w:rsid w:val="236E03B0"/>
    <w:rsid w:val="23723533"/>
    <w:rsid w:val="23773623"/>
    <w:rsid w:val="2377693D"/>
    <w:rsid w:val="237D6817"/>
    <w:rsid w:val="238724DB"/>
    <w:rsid w:val="23904EBC"/>
    <w:rsid w:val="23921988"/>
    <w:rsid w:val="23943321"/>
    <w:rsid w:val="23996B76"/>
    <w:rsid w:val="239D0541"/>
    <w:rsid w:val="239F724D"/>
    <w:rsid w:val="23A02E81"/>
    <w:rsid w:val="23A43BC8"/>
    <w:rsid w:val="23AB1721"/>
    <w:rsid w:val="23AD6B8D"/>
    <w:rsid w:val="23B865C5"/>
    <w:rsid w:val="23BE4EB6"/>
    <w:rsid w:val="23C9112D"/>
    <w:rsid w:val="23D95FBD"/>
    <w:rsid w:val="23DC2486"/>
    <w:rsid w:val="23EF0BE1"/>
    <w:rsid w:val="23F30609"/>
    <w:rsid w:val="23FC4C74"/>
    <w:rsid w:val="24002E5E"/>
    <w:rsid w:val="2401409C"/>
    <w:rsid w:val="24030096"/>
    <w:rsid w:val="24044127"/>
    <w:rsid w:val="240C0165"/>
    <w:rsid w:val="240F46B6"/>
    <w:rsid w:val="24116F89"/>
    <w:rsid w:val="24145719"/>
    <w:rsid w:val="24175851"/>
    <w:rsid w:val="241F1B90"/>
    <w:rsid w:val="242B5102"/>
    <w:rsid w:val="24430AAF"/>
    <w:rsid w:val="24435E0A"/>
    <w:rsid w:val="24532F99"/>
    <w:rsid w:val="245734DF"/>
    <w:rsid w:val="245A6743"/>
    <w:rsid w:val="246658A8"/>
    <w:rsid w:val="2466751E"/>
    <w:rsid w:val="246A08B9"/>
    <w:rsid w:val="24754B15"/>
    <w:rsid w:val="247F64CC"/>
    <w:rsid w:val="248A159A"/>
    <w:rsid w:val="248C2469"/>
    <w:rsid w:val="248C59A2"/>
    <w:rsid w:val="248D420D"/>
    <w:rsid w:val="248F3041"/>
    <w:rsid w:val="24900FD6"/>
    <w:rsid w:val="24921B27"/>
    <w:rsid w:val="24A0121D"/>
    <w:rsid w:val="24B02B84"/>
    <w:rsid w:val="24B47257"/>
    <w:rsid w:val="24B97631"/>
    <w:rsid w:val="24BD5AA0"/>
    <w:rsid w:val="24C90419"/>
    <w:rsid w:val="24DC693F"/>
    <w:rsid w:val="24E32289"/>
    <w:rsid w:val="24E93158"/>
    <w:rsid w:val="24ED1C1E"/>
    <w:rsid w:val="24F0284D"/>
    <w:rsid w:val="24FB7D5F"/>
    <w:rsid w:val="24FE3B5E"/>
    <w:rsid w:val="250E20E4"/>
    <w:rsid w:val="250E67D7"/>
    <w:rsid w:val="250F4F2F"/>
    <w:rsid w:val="251315D3"/>
    <w:rsid w:val="251B5760"/>
    <w:rsid w:val="25202C91"/>
    <w:rsid w:val="25212B83"/>
    <w:rsid w:val="252331A5"/>
    <w:rsid w:val="25255C6A"/>
    <w:rsid w:val="25266F92"/>
    <w:rsid w:val="252733A0"/>
    <w:rsid w:val="252C19DC"/>
    <w:rsid w:val="253012F8"/>
    <w:rsid w:val="253A637A"/>
    <w:rsid w:val="253B28F0"/>
    <w:rsid w:val="253C437F"/>
    <w:rsid w:val="25425A19"/>
    <w:rsid w:val="25433441"/>
    <w:rsid w:val="25490B3E"/>
    <w:rsid w:val="254B2E97"/>
    <w:rsid w:val="2557740C"/>
    <w:rsid w:val="255C215A"/>
    <w:rsid w:val="255C46D3"/>
    <w:rsid w:val="25614063"/>
    <w:rsid w:val="256F1A53"/>
    <w:rsid w:val="25744759"/>
    <w:rsid w:val="25776C46"/>
    <w:rsid w:val="257D5536"/>
    <w:rsid w:val="258B2F2B"/>
    <w:rsid w:val="258B31A0"/>
    <w:rsid w:val="25935964"/>
    <w:rsid w:val="259C46FE"/>
    <w:rsid w:val="25A14E4D"/>
    <w:rsid w:val="25A16CA8"/>
    <w:rsid w:val="25A17F32"/>
    <w:rsid w:val="25A94457"/>
    <w:rsid w:val="25AB0A2D"/>
    <w:rsid w:val="25AB3D1C"/>
    <w:rsid w:val="25AD7BE8"/>
    <w:rsid w:val="25B21B15"/>
    <w:rsid w:val="25B7376D"/>
    <w:rsid w:val="25C44057"/>
    <w:rsid w:val="25D41E2D"/>
    <w:rsid w:val="25D90A1B"/>
    <w:rsid w:val="25E22192"/>
    <w:rsid w:val="25E70E85"/>
    <w:rsid w:val="25EC2007"/>
    <w:rsid w:val="25F332FF"/>
    <w:rsid w:val="25F7575F"/>
    <w:rsid w:val="25FA5ECB"/>
    <w:rsid w:val="25FE37D6"/>
    <w:rsid w:val="260C24B4"/>
    <w:rsid w:val="26202999"/>
    <w:rsid w:val="2622417B"/>
    <w:rsid w:val="26242E36"/>
    <w:rsid w:val="26274BB6"/>
    <w:rsid w:val="262F239C"/>
    <w:rsid w:val="263227F8"/>
    <w:rsid w:val="2634261F"/>
    <w:rsid w:val="26356536"/>
    <w:rsid w:val="26405DB9"/>
    <w:rsid w:val="26405E19"/>
    <w:rsid w:val="264542D6"/>
    <w:rsid w:val="26465658"/>
    <w:rsid w:val="264779F7"/>
    <w:rsid w:val="26480042"/>
    <w:rsid w:val="26552372"/>
    <w:rsid w:val="267A6D2E"/>
    <w:rsid w:val="267B3075"/>
    <w:rsid w:val="267B5E32"/>
    <w:rsid w:val="268806AE"/>
    <w:rsid w:val="268B243A"/>
    <w:rsid w:val="268F66E5"/>
    <w:rsid w:val="269221D6"/>
    <w:rsid w:val="269730A2"/>
    <w:rsid w:val="269C627F"/>
    <w:rsid w:val="26A5686B"/>
    <w:rsid w:val="26AA20D3"/>
    <w:rsid w:val="26AB568F"/>
    <w:rsid w:val="26B43DCE"/>
    <w:rsid w:val="26C705B0"/>
    <w:rsid w:val="26D63BC5"/>
    <w:rsid w:val="26D933C3"/>
    <w:rsid w:val="26DD3B73"/>
    <w:rsid w:val="26E10390"/>
    <w:rsid w:val="26E30CDC"/>
    <w:rsid w:val="26E576C7"/>
    <w:rsid w:val="26E663D1"/>
    <w:rsid w:val="26F04260"/>
    <w:rsid w:val="26F07AEA"/>
    <w:rsid w:val="26F81EB4"/>
    <w:rsid w:val="26FB2F1B"/>
    <w:rsid w:val="271D63E4"/>
    <w:rsid w:val="271D6996"/>
    <w:rsid w:val="27233CC4"/>
    <w:rsid w:val="27310B9A"/>
    <w:rsid w:val="27322F4A"/>
    <w:rsid w:val="27370766"/>
    <w:rsid w:val="273970CB"/>
    <w:rsid w:val="273E1C11"/>
    <w:rsid w:val="273F7D71"/>
    <w:rsid w:val="274676FC"/>
    <w:rsid w:val="275265C3"/>
    <w:rsid w:val="27593810"/>
    <w:rsid w:val="275B2DEA"/>
    <w:rsid w:val="276B112C"/>
    <w:rsid w:val="27754A5C"/>
    <w:rsid w:val="27815619"/>
    <w:rsid w:val="27860F65"/>
    <w:rsid w:val="279E2679"/>
    <w:rsid w:val="279F1E55"/>
    <w:rsid w:val="279F554C"/>
    <w:rsid w:val="27B37783"/>
    <w:rsid w:val="27CB6AE3"/>
    <w:rsid w:val="27D2258D"/>
    <w:rsid w:val="27D65541"/>
    <w:rsid w:val="27DE61FA"/>
    <w:rsid w:val="27E466F0"/>
    <w:rsid w:val="27EC5FCE"/>
    <w:rsid w:val="27FA7E2E"/>
    <w:rsid w:val="28046072"/>
    <w:rsid w:val="28136E4F"/>
    <w:rsid w:val="28174A56"/>
    <w:rsid w:val="281B09D9"/>
    <w:rsid w:val="28260032"/>
    <w:rsid w:val="28277E8C"/>
    <w:rsid w:val="282B0C73"/>
    <w:rsid w:val="282B2873"/>
    <w:rsid w:val="282E208B"/>
    <w:rsid w:val="283D2292"/>
    <w:rsid w:val="285343B6"/>
    <w:rsid w:val="28555B4C"/>
    <w:rsid w:val="285C775E"/>
    <w:rsid w:val="286651CF"/>
    <w:rsid w:val="28671C46"/>
    <w:rsid w:val="2880450F"/>
    <w:rsid w:val="28817213"/>
    <w:rsid w:val="2885745E"/>
    <w:rsid w:val="28860A40"/>
    <w:rsid w:val="288B1F91"/>
    <w:rsid w:val="2897657D"/>
    <w:rsid w:val="289B1451"/>
    <w:rsid w:val="28A7603E"/>
    <w:rsid w:val="28AB19F4"/>
    <w:rsid w:val="28AD1C76"/>
    <w:rsid w:val="28B30E3A"/>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3A2040"/>
    <w:rsid w:val="293B5829"/>
    <w:rsid w:val="293D46F6"/>
    <w:rsid w:val="294E2BBE"/>
    <w:rsid w:val="294E4E26"/>
    <w:rsid w:val="29602BC4"/>
    <w:rsid w:val="296122F3"/>
    <w:rsid w:val="29702FAD"/>
    <w:rsid w:val="29734F00"/>
    <w:rsid w:val="29754C24"/>
    <w:rsid w:val="297C4E20"/>
    <w:rsid w:val="298A4D77"/>
    <w:rsid w:val="299760C7"/>
    <w:rsid w:val="2999350D"/>
    <w:rsid w:val="299E7E78"/>
    <w:rsid w:val="29A02558"/>
    <w:rsid w:val="29B759BC"/>
    <w:rsid w:val="29C8521C"/>
    <w:rsid w:val="29D60A95"/>
    <w:rsid w:val="29D94FA1"/>
    <w:rsid w:val="29E052C9"/>
    <w:rsid w:val="29E31604"/>
    <w:rsid w:val="29E3388E"/>
    <w:rsid w:val="29F87E04"/>
    <w:rsid w:val="2A12747B"/>
    <w:rsid w:val="2A174F9B"/>
    <w:rsid w:val="2A182924"/>
    <w:rsid w:val="2A1A7BC7"/>
    <w:rsid w:val="2A2D73EC"/>
    <w:rsid w:val="2A2E4CEB"/>
    <w:rsid w:val="2A3B565F"/>
    <w:rsid w:val="2A3F5A89"/>
    <w:rsid w:val="2A4F3BBF"/>
    <w:rsid w:val="2A555F3D"/>
    <w:rsid w:val="2A637C6C"/>
    <w:rsid w:val="2A645B0E"/>
    <w:rsid w:val="2A653259"/>
    <w:rsid w:val="2A674BBC"/>
    <w:rsid w:val="2A701993"/>
    <w:rsid w:val="2A8F0305"/>
    <w:rsid w:val="2A8F4841"/>
    <w:rsid w:val="2A9E1BFE"/>
    <w:rsid w:val="2A9E697C"/>
    <w:rsid w:val="2AA369DD"/>
    <w:rsid w:val="2AAE39DE"/>
    <w:rsid w:val="2AB23D89"/>
    <w:rsid w:val="2AB32B2A"/>
    <w:rsid w:val="2AC55C66"/>
    <w:rsid w:val="2AD06022"/>
    <w:rsid w:val="2AD067C9"/>
    <w:rsid w:val="2AD63975"/>
    <w:rsid w:val="2ADD1B0D"/>
    <w:rsid w:val="2AEC47FC"/>
    <w:rsid w:val="2AF1331E"/>
    <w:rsid w:val="2AF81BE3"/>
    <w:rsid w:val="2AFF23A5"/>
    <w:rsid w:val="2B024C79"/>
    <w:rsid w:val="2B085BA8"/>
    <w:rsid w:val="2B0F5533"/>
    <w:rsid w:val="2B20324F"/>
    <w:rsid w:val="2B2257DB"/>
    <w:rsid w:val="2B26232E"/>
    <w:rsid w:val="2B2E4A0D"/>
    <w:rsid w:val="2B361003"/>
    <w:rsid w:val="2B3762A6"/>
    <w:rsid w:val="2B3C6641"/>
    <w:rsid w:val="2B4144E2"/>
    <w:rsid w:val="2B423577"/>
    <w:rsid w:val="2B4347DD"/>
    <w:rsid w:val="2B51786F"/>
    <w:rsid w:val="2B532272"/>
    <w:rsid w:val="2B5B0F6E"/>
    <w:rsid w:val="2B925FDF"/>
    <w:rsid w:val="2B9379D8"/>
    <w:rsid w:val="2B97510E"/>
    <w:rsid w:val="2B9970F1"/>
    <w:rsid w:val="2BA57E3F"/>
    <w:rsid w:val="2BBA7363"/>
    <w:rsid w:val="2BC43D5D"/>
    <w:rsid w:val="2BD9047F"/>
    <w:rsid w:val="2BDD1EFC"/>
    <w:rsid w:val="2BE01362"/>
    <w:rsid w:val="2BE352F3"/>
    <w:rsid w:val="2BE46810"/>
    <w:rsid w:val="2BE501C7"/>
    <w:rsid w:val="2BED2E55"/>
    <w:rsid w:val="2BF069DC"/>
    <w:rsid w:val="2C0028BD"/>
    <w:rsid w:val="2C006CB0"/>
    <w:rsid w:val="2C0269F8"/>
    <w:rsid w:val="2C0A4093"/>
    <w:rsid w:val="2C156FDF"/>
    <w:rsid w:val="2C1738CF"/>
    <w:rsid w:val="2C1945D8"/>
    <w:rsid w:val="2C1B1368"/>
    <w:rsid w:val="2C1E3DA9"/>
    <w:rsid w:val="2C2030F5"/>
    <w:rsid w:val="2C252AFD"/>
    <w:rsid w:val="2C27277D"/>
    <w:rsid w:val="2C361480"/>
    <w:rsid w:val="2C3A0BF6"/>
    <w:rsid w:val="2C6404B6"/>
    <w:rsid w:val="2C6420B7"/>
    <w:rsid w:val="2C67335F"/>
    <w:rsid w:val="2C677DF8"/>
    <w:rsid w:val="2C695FE2"/>
    <w:rsid w:val="2C6C7918"/>
    <w:rsid w:val="2C72569E"/>
    <w:rsid w:val="2C783906"/>
    <w:rsid w:val="2C7E3B86"/>
    <w:rsid w:val="2C88126B"/>
    <w:rsid w:val="2CAA54CE"/>
    <w:rsid w:val="2CB5787B"/>
    <w:rsid w:val="2CB65D9A"/>
    <w:rsid w:val="2CCA4381"/>
    <w:rsid w:val="2CCE3BE1"/>
    <w:rsid w:val="2CD066EE"/>
    <w:rsid w:val="2CD30F03"/>
    <w:rsid w:val="2CDE06BA"/>
    <w:rsid w:val="2CDF1B63"/>
    <w:rsid w:val="2CEE4744"/>
    <w:rsid w:val="2CF11E25"/>
    <w:rsid w:val="2CF1389A"/>
    <w:rsid w:val="2CF249BE"/>
    <w:rsid w:val="2CF92346"/>
    <w:rsid w:val="2CFC1554"/>
    <w:rsid w:val="2CFC5E51"/>
    <w:rsid w:val="2CFF3512"/>
    <w:rsid w:val="2D013765"/>
    <w:rsid w:val="2D033694"/>
    <w:rsid w:val="2D055532"/>
    <w:rsid w:val="2D070D62"/>
    <w:rsid w:val="2D0A1C4E"/>
    <w:rsid w:val="2D0A5E6E"/>
    <w:rsid w:val="2D0B7148"/>
    <w:rsid w:val="2D16731B"/>
    <w:rsid w:val="2D17770B"/>
    <w:rsid w:val="2D23171B"/>
    <w:rsid w:val="2D354DCA"/>
    <w:rsid w:val="2D466457"/>
    <w:rsid w:val="2D48403D"/>
    <w:rsid w:val="2D4C5FFB"/>
    <w:rsid w:val="2D505521"/>
    <w:rsid w:val="2D506084"/>
    <w:rsid w:val="2D5748B7"/>
    <w:rsid w:val="2D6630B4"/>
    <w:rsid w:val="2D6E6943"/>
    <w:rsid w:val="2D746EB9"/>
    <w:rsid w:val="2D774E33"/>
    <w:rsid w:val="2D7E4AF7"/>
    <w:rsid w:val="2D817536"/>
    <w:rsid w:val="2D8519AC"/>
    <w:rsid w:val="2D87777E"/>
    <w:rsid w:val="2D8E349F"/>
    <w:rsid w:val="2D9469E6"/>
    <w:rsid w:val="2D9D7A77"/>
    <w:rsid w:val="2DA433AF"/>
    <w:rsid w:val="2DAF78FF"/>
    <w:rsid w:val="2DB53988"/>
    <w:rsid w:val="2DBA1E35"/>
    <w:rsid w:val="2DBD50E7"/>
    <w:rsid w:val="2DD93F77"/>
    <w:rsid w:val="2DDE7A41"/>
    <w:rsid w:val="2DE116CE"/>
    <w:rsid w:val="2DE373FB"/>
    <w:rsid w:val="2DEF20F0"/>
    <w:rsid w:val="2DF62DF6"/>
    <w:rsid w:val="2DFE0672"/>
    <w:rsid w:val="2E041306"/>
    <w:rsid w:val="2E0C007F"/>
    <w:rsid w:val="2E0F74CD"/>
    <w:rsid w:val="2E106E4C"/>
    <w:rsid w:val="2E1113A3"/>
    <w:rsid w:val="2E155331"/>
    <w:rsid w:val="2E167CCE"/>
    <w:rsid w:val="2E21419B"/>
    <w:rsid w:val="2E2339D3"/>
    <w:rsid w:val="2E246D3F"/>
    <w:rsid w:val="2E26642C"/>
    <w:rsid w:val="2E2732FE"/>
    <w:rsid w:val="2E336271"/>
    <w:rsid w:val="2E36469A"/>
    <w:rsid w:val="2E36581B"/>
    <w:rsid w:val="2E3F6F4F"/>
    <w:rsid w:val="2E497CE0"/>
    <w:rsid w:val="2E4A6DA0"/>
    <w:rsid w:val="2E4C211D"/>
    <w:rsid w:val="2E4D7F49"/>
    <w:rsid w:val="2E4E05E7"/>
    <w:rsid w:val="2E4E1129"/>
    <w:rsid w:val="2E4E4C94"/>
    <w:rsid w:val="2E544421"/>
    <w:rsid w:val="2E5A472E"/>
    <w:rsid w:val="2E5B5EA2"/>
    <w:rsid w:val="2E5E3058"/>
    <w:rsid w:val="2E621008"/>
    <w:rsid w:val="2E6446EB"/>
    <w:rsid w:val="2E644C6D"/>
    <w:rsid w:val="2E681DB2"/>
    <w:rsid w:val="2E7A5D97"/>
    <w:rsid w:val="2E7F0E61"/>
    <w:rsid w:val="2E7F686F"/>
    <w:rsid w:val="2E870765"/>
    <w:rsid w:val="2E8872C4"/>
    <w:rsid w:val="2E8D0791"/>
    <w:rsid w:val="2E9732EC"/>
    <w:rsid w:val="2E9B39A1"/>
    <w:rsid w:val="2E9D5150"/>
    <w:rsid w:val="2EA94687"/>
    <w:rsid w:val="2EAD6AD6"/>
    <w:rsid w:val="2EAF6BB3"/>
    <w:rsid w:val="2ECA14C3"/>
    <w:rsid w:val="2EE5675B"/>
    <w:rsid w:val="2F047EE8"/>
    <w:rsid w:val="2F082414"/>
    <w:rsid w:val="2F085C75"/>
    <w:rsid w:val="2F2B12A9"/>
    <w:rsid w:val="2F2B2AF9"/>
    <w:rsid w:val="2F3A381B"/>
    <w:rsid w:val="2F4201CA"/>
    <w:rsid w:val="2F50070F"/>
    <w:rsid w:val="2F524A74"/>
    <w:rsid w:val="2F5A4B10"/>
    <w:rsid w:val="2F626907"/>
    <w:rsid w:val="2F6B035B"/>
    <w:rsid w:val="2F6D72EC"/>
    <w:rsid w:val="2F727CE6"/>
    <w:rsid w:val="2F735768"/>
    <w:rsid w:val="2F7505E3"/>
    <w:rsid w:val="2F78149C"/>
    <w:rsid w:val="2F7E767A"/>
    <w:rsid w:val="2F812C06"/>
    <w:rsid w:val="2F812D69"/>
    <w:rsid w:val="2F94585E"/>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34AA0"/>
    <w:rsid w:val="2FEC279E"/>
    <w:rsid w:val="2FF02EDC"/>
    <w:rsid w:val="2FF33BE8"/>
    <w:rsid w:val="2FF608DC"/>
    <w:rsid w:val="2FFD0D74"/>
    <w:rsid w:val="2FFD3FAC"/>
    <w:rsid w:val="3004586C"/>
    <w:rsid w:val="30067266"/>
    <w:rsid w:val="300833C4"/>
    <w:rsid w:val="300F56DE"/>
    <w:rsid w:val="301607F4"/>
    <w:rsid w:val="30160ACC"/>
    <w:rsid w:val="301B13F8"/>
    <w:rsid w:val="302858F5"/>
    <w:rsid w:val="302F41F6"/>
    <w:rsid w:val="3045081F"/>
    <w:rsid w:val="30455AC0"/>
    <w:rsid w:val="306825DD"/>
    <w:rsid w:val="30696A3C"/>
    <w:rsid w:val="307A7EFE"/>
    <w:rsid w:val="30834BF9"/>
    <w:rsid w:val="30863914"/>
    <w:rsid w:val="30901D38"/>
    <w:rsid w:val="309409FB"/>
    <w:rsid w:val="30944718"/>
    <w:rsid w:val="309A02D0"/>
    <w:rsid w:val="30A31CBE"/>
    <w:rsid w:val="30A64922"/>
    <w:rsid w:val="30B60702"/>
    <w:rsid w:val="30C01078"/>
    <w:rsid w:val="30CF0FD9"/>
    <w:rsid w:val="30D540AA"/>
    <w:rsid w:val="30ED4619"/>
    <w:rsid w:val="30F34FAE"/>
    <w:rsid w:val="30FF169A"/>
    <w:rsid w:val="310A0E65"/>
    <w:rsid w:val="312C2424"/>
    <w:rsid w:val="312D72EF"/>
    <w:rsid w:val="3133127A"/>
    <w:rsid w:val="31353CD7"/>
    <w:rsid w:val="313E3AD9"/>
    <w:rsid w:val="313E620E"/>
    <w:rsid w:val="313E6CDE"/>
    <w:rsid w:val="314254AD"/>
    <w:rsid w:val="31462E3B"/>
    <w:rsid w:val="31522D74"/>
    <w:rsid w:val="316F42A9"/>
    <w:rsid w:val="31727F68"/>
    <w:rsid w:val="31737212"/>
    <w:rsid w:val="317662E9"/>
    <w:rsid w:val="317C63D3"/>
    <w:rsid w:val="318A0401"/>
    <w:rsid w:val="31946A67"/>
    <w:rsid w:val="31954796"/>
    <w:rsid w:val="31962DAE"/>
    <w:rsid w:val="31995BC3"/>
    <w:rsid w:val="319F0073"/>
    <w:rsid w:val="31AA7FB9"/>
    <w:rsid w:val="31B61646"/>
    <w:rsid w:val="31B9498A"/>
    <w:rsid w:val="31BC58DA"/>
    <w:rsid w:val="31BF654A"/>
    <w:rsid w:val="31C433C3"/>
    <w:rsid w:val="31D16AC8"/>
    <w:rsid w:val="31DD3572"/>
    <w:rsid w:val="31E83834"/>
    <w:rsid w:val="31EE64B9"/>
    <w:rsid w:val="320342B1"/>
    <w:rsid w:val="32044DED"/>
    <w:rsid w:val="32051176"/>
    <w:rsid w:val="320C562E"/>
    <w:rsid w:val="321E7F4B"/>
    <w:rsid w:val="32221E3D"/>
    <w:rsid w:val="322A3D57"/>
    <w:rsid w:val="322D1BFD"/>
    <w:rsid w:val="322E6E1B"/>
    <w:rsid w:val="324A795C"/>
    <w:rsid w:val="324B22D2"/>
    <w:rsid w:val="324E020D"/>
    <w:rsid w:val="32527BFB"/>
    <w:rsid w:val="32575E9A"/>
    <w:rsid w:val="325C3AF5"/>
    <w:rsid w:val="325C5B7B"/>
    <w:rsid w:val="326B5445"/>
    <w:rsid w:val="327A0FE8"/>
    <w:rsid w:val="329F684F"/>
    <w:rsid w:val="32B26B6D"/>
    <w:rsid w:val="32BC587E"/>
    <w:rsid w:val="32BF4FDB"/>
    <w:rsid w:val="32BF773B"/>
    <w:rsid w:val="32C92CF9"/>
    <w:rsid w:val="32D43E6A"/>
    <w:rsid w:val="32E16709"/>
    <w:rsid w:val="32EC54BB"/>
    <w:rsid w:val="32ED2CF0"/>
    <w:rsid w:val="32EE4440"/>
    <w:rsid w:val="32F16461"/>
    <w:rsid w:val="32F543D4"/>
    <w:rsid w:val="32F96ACA"/>
    <w:rsid w:val="330258B3"/>
    <w:rsid w:val="33054642"/>
    <w:rsid w:val="33056601"/>
    <w:rsid w:val="330865C8"/>
    <w:rsid w:val="330D2C48"/>
    <w:rsid w:val="331007BA"/>
    <w:rsid w:val="33106E3B"/>
    <w:rsid w:val="3313489C"/>
    <w:rsid w:val="331A23B6"/>
    <w:rsid w:val="33294383"/>
    <w:rsid w:val="33315F96"/>
    <w:rsid w:val="333E4968"/>
    <w:rsid w:val="333F4524"/>
    <w:rsid w:val="33433F9A"/>
    <w:rsid w:val="334A28B5"/>
    <w:rsid w:val="334B6519"/>
    <w:rsid w:val="334C6D73"/>
    <w:rsid w:val="334F5C93"/>
    <w:rsid w:val="33527C2F"/>
    <w:rsid w:val="335D5DB2"/>
    <w:rsid w:val="33735C77"/>
    <w:rsid w:val="33751FF6"/>
    <w:rsid w:val="337E28B4"/>
    <w:rsid w:val="338C5B48"/>
    <w:rsid w:val="338D740D"/>
    <w:rsid w:val="33951969"/>
    <w:rsid w:val="339568F2"/>
    <w:rsid w:val="339B5E01"/>
    <w:rsid w:val="33A31D7A"/>
    <w:rsid w:val="33A37679"/>
    <w:rsid w:val="33AA098C"/>
    <w:rsid w:val="33B878BA"/>
    <w:rsid w:val="33B8794C"/>
    <w:rsid w:val="33BF5206"/>
    <w:rsid w:val="33D03F11"/>
    <w:rsid w:val="33D163EF"/>
    <w:rsid w:val="33D43249"/>
    <w:rsid w:val="33D45DFD"/>
    <w:rsid w:val="33DC6622"/>
    <w:rsid w:val="33DF5ABE"/>
    <w:rsid w:val="33E107F9"/>
    <w:rsid w:val="33E605A3"/>
    <w:rsid w:val="33E706E6"/>
    <w:rsid w:val="33F14703"/>
    <w:rsid w:val="33F57B3C"/>
    <w:rsid w:val="33F7797D"/>
    <w:rsid w:val="33FD22BD"/>
    <w:rsid w:val="3406027F"/>
    <w:rsid w:val="34255A9B"/>
    <w:rsid w:val="3426758B"/>
    <w:rsid w:val="342F3DB9"/>
    <w:rsid w:val="343D3142"/>
    <w:rsid w:val="344504CC"/>
    <w:rsid w:val="345A0509"/>
    <w:rsid w:val="345B2367"/>
    <w:rsid w:val="34641546"/>
    <w:rsid w:val="34672008"/>
    <w:rsid w:val="34720636"/>
    <w:rsid w:val="34794704"/>
    <w:rsid w:val="34842CBD"/>
    <w:rsid w:val="34843CA1"/>
    <w:rsid w:val="348621CE"/>
    <w:rsid w:val="348B5095"/>
    <w:rsid w:val="348D1A8C"/>
    <w:rsid w:val="34994CFC"/>
    <w:rsid w:val="349C31F7"/>
    <w:rsid w:val="34A54544"/>
    <w:rsid w:val="34AE0539"/>
    <w:rsid w:val="34AF3083"/>
    <w:rsid w:val="34B017ED"/>
    <w:rsid w:val="34B15FE5"/>
    <w:rsid w:val="34C20AA1"/>
    <w:rsid w:val="34C40ED9"/>
    <w:rsid w:val="34CB28F5"/>
    <w:rsid w:val="34CC3677"/>
    <w:rsid w:val="34CC46B6"/>
    <w:rsid w:val="34CD5068"/>
    <w:rsid w:val="34CE2B5B"/>
    <w:rsid w:val="34D747C2"/>
    <w:rsid w:val="34E56664"/>
    <w:rsid w:val="34E768F2"/>
    <w:rsid w:val="34E944F6"/>
    <w:rsid w:val="34E94AA0"/>
    <w:rsid w:val="34EA0AE1"/>
    <w:rsid w:val="34F00667"/>
    <w:rsid w:val="34F15B96"/>
    <w:rsid w:val="34F44E6F"/>
    <w:rsid w:val="34F96E62"/>
    <w:rsid w:val="35072EAD"/>
    <w:rsid w:val="35091B4D"/>
    <w:rsid w:val="350960B1"/>
    <w:rsid w:val="350D619B"/>
    <w:rsid w:val="35150114"/>
    <w:rsid w:val="351608A7"/>
    <w:rsid w:val="3520607A"/>
    <w:rsid w:val="352064D2"/>
    <w:rsid w:val="35217336"/>
    <w:rsid w:val="3525563E"/>
    <w:rsid w:val="35290A77"/>
    <w:rsid w:val="352A0B4B"/>
    <w:rsid w:val="35356F10"/>
    <w:rsid w:val="35397B62"/>
    <w:rsid w:val="354840CB"/>
    <w:rsid w:val="3549001F"/>
    <w:rsid w:val="354D1D05"/>
    <w:rsid w:val="355C013C"/>
    <w:rsid w:val="3565420B"/>
    <w:rsid w:val="35662569"/>
    <w:rsid w:val="356A601B"/>
    <w:rsid w:val="356F599A"/>
    <w:rsid w:val="357716CF"/>
    <w:rsid w:val="357E162B"/>
    <w:rsid w:val="35827B62"/>
    <w:rsid w:val="3583595D"/>
    <w:rsid w:val="35841013"/>
    <w:rsid w:val="3585695C"/>
    <w:rsid w:val="358B79C9"/>
    <w:rsid w:val="359A00B9"/>
    <w:rsid w:val="359C7CB6"/>
    <w:rsid w:val="35AB4645"/>
    <w:rsid w:val="35BF7AA4"/>
    <w:rsid w:val="35C93DF3"/>
    <w:rsid w:val="35CB155A"/>
    <w:rsid w:val="35DA2B65"/>
    <w:rsid w:val="35E930F7"/>
    <w:rsid w:val="35F853BB"/>
    <w:rsid w:val="35F96BD4"/>
    <w:rsid w:val="35FB1676"/>
    <w:rsid w:val="360120A7"/>
    <w:rsid w:val="360B16E9"/>
    <w:rsid w:val="360C5F28"/>
    <w:rsid w:val="36115B7F"/>
    <w:rsid w:val="361526DE"/>
    <w:rsid w:val="36225127"/>
    <w:rsid w:val="36237E20"/>
    <w:rsid w:val="36256291"/>
    <w:rsid w:val="36286678"/>
    <w:rsid w:val="362979CB"/>
    <w:rsid w:val="362D735D"/>
    <w:rsid w:val="36336539"/>
    <w:rsid w:val="36371706"/>
    <w:rsid w:val="363803C7"/>
    <w:rsid w:val="363F5D58"/>
    <w:rsid w:val="364E2CE9"/>
    <w:rsid w:val="36551581"/>
    <w:rsid w:val="36560C0B"/>
    <w:rsid w:val="365B28AF"/>
    <w:rsid w:val="36616FC9"/>
    <w:rsid w:val="36633A19"/>
    <w:rsid w:val="36641D94"/>
    <w:rsid w:val="366A7ED3"/>
    <w:rsid w:val="36712764"/>
    <w:rsid w:val="367620D2"/>
    <w:rsid w:val="3679299D"/>
    <w:rsid w:val="3686664E"/>
    <w:rsid w:val="3689139F"/>
    <w:rsid w:val="368C6A1D"/>
    <w:rsid w:val="369608CE"/>
    <w:rsid w:val="36963B69"/>
    <w:rsid w:val="369B2954"/>
    <w:rsid w:val="36A238B1"/>
    <w:rsid w:val="36A66F32"/>
    <w:rsid w:val="36B27C7A"/>
    <w:rsid w:val="36BA0FCB"/>
    <w:rsid w:val="36C1037B"/>
    <w:rsid w:val="36C9319E"/>
    <w:rsid w:val="36D067A6"/>
    <w:rsid w:val="36D46F18"/>
    <w:rsid w:val="36EF385B"/>
    <w:rsid w:val="36F57F10"/>
    <w:rsid w:val="36FC4486"/>
    <w:rsid w:val="37070D11"/>
    <w:rsid w:val="370F1A65"/>
    <w:rsid w:val="3710710F"/>
    <w:rsid w:val="37175525"/>
    <w:rsid w:val="371A5AC4"/>
    <w:rsid w:val="371B2276"/>
    <w:rsid w:val="371C1DD8"/>
    <w:rsid w:val="37201F64"/>
    <w:rsid w:val="373F53DD"/>
    <w:rsid w:val="37461780"/>
    <w:rsid w:val="37497E7D"/>
    <w:rsid w:val="375948AC"/>
    <w:rsid w:val="376B28D6"/>
    <w:rsid w:val="376C5D00"/>
    <w:rsid w:val="376D427E"/>
    <w:rsid w:val="376E276D"/>
    <w:rsid w:val="37724E83"/>
    <w:rsid w:val="377C31ED"/>
    <w:rsid w:val="379606E1"/>
    <w:rsid w:val="37983FB2"/>
    <w:rsid w:val="379850C2"/>
    <w:rsid w:val="379D4DCD"/>
    <w:rsid w:val="37A025DA"/>
    <w:rsid w:val="37A04E93"/>
    <w:rsid w:val="37A25A9F"/>
    <w:rsid w:val="37A31CDF"/>
    <w:rsid w:val="37AB1B65"/>
    <w:rsid w:val="37B20E7F"/>
    <w:rsid w:val="37B25C6C"/>
    <w:rsid w:val="37C402D4"/>
    <w:rsid w:val="37CF154C"/>
    <w:rsid w:val="37D15916"/>
    <w:rsid w:val="37EA0A17"/>
    <w:rsid w:val="37F606C6"/>
    <w:rsid w:val="38067B18"/>
    <w:rsid w:val="38087AC7"/>
    <w:rsid w:val="380956A8"/>
    <w:rsid w:val="380A7603"/>
    <w:rsid w:val="380B0BB2"/>
    <w:rsid w:val="380C0393"/>
    <w:rsid w:val="380D32F1"/>
    <w:rsid w:val="380D5D0D"/>
    <w:rsid w:val="38196915"/>
    <w:rsid w:val="382F2C1E"/>
    <w:rsid w:val="382F499D"/>
    <w:rsid w:val="3860038E"/>
    <w:rsid w:val="38716CD9"/>
    <w:rsid w:val="38801C6C"/>
    <w:rsid w:val="38834A3E"/>
    <w:rsid w:val="38851608"/>
    <w:rsid w:val="38866017"/>
    <w:rsid w:val="38942A14"/>
    <w:rsid w:val="38957564"/>
    <w:rsid w:val="38A22386"/>
    <w:rsid w:val="38A45712"/>
    <w:rsid w:val="38A47DD9"/>
    <w:rsid w:val="38B04451"/>
    <w:rsid w:val="38B41DF3"/>
    <w:rsid w:val="38BA4623"/>
    <w:rsid w:val="38BC68BD"/>
    <w:rsid w:val="38BD5EB6"/>
    <w:rsid w:val="38C84790"/>
    <w:rsid w:val="38CC1F91"/>
    <w:rsid w:val="38CC35B4"/>
    <w:rsid w:val="38D10166"/>
    <w:rsid w:val="38E7519A"/>
    <w:rsid w:val="38EA5FB0"/>
    <w:rsid w:val="38FF381C"/>
    <w:rsid w:val="3908401F"/>
    <w:rsid w:val="3908621E"/>
    <w:rsid w:val="39203273"/>
    <w:rsid w:val="39207FD2"/>
    <w:rsid w:val="39300FA9"/>
    <w:rsid w:val="3930387E"/>
    <w:rsid w:val="3933207C"/>
    <w:rsid w:val="393C2E57"/>
    <w:rsid w:val="394668D6"/>
    <w:rsid w:val="394B37F2"/>
    <w:rsid w:val="394C5A0D"/>
    <w:rsid w:val="39530C1B"/>
    <w:rsid w:val="39532C2F"/>
    <w:rsid w:val="39714A55"/>
    <w:rsid w:val="397458FC"/>
    <w:rsid w:val="398C2C91"/>
    <w:rsid w:val="39985F30"/>
    <w:rsid w:val="39C72C62"/>
    <w:rsid w:val="39C80DC7"/>
    <w:rsid w:val="39C82B9C"/>
    <w:rsid w:val="39D3500A"/>
    <w:rsid w:val="39D96419"/>
    <w:rsid w:val="39DB057E"/>
    <w:rsid w:val="39E55169"/>
    <w:rsid w:val="39E75A27"/>
    <w:rsid w:val="39E84553"/>
    <w:rsid w:val="39E86F30"/>
    <w:rsid w:val="39F374A0"/>
    <w:rsid w:val="39F4018B"/>
    <w:rsid w:val="39F4143C"/>
    <w:rsid w:val="39F72E22"/>
    <w:rsid w:val="39F847AF"/>
    <w:rsid w:val="3A0926D8"/>
    <w:rsid w:val="3A094E52"/>
    <w:rsid w:val="3A144A89"/>
    <w:rsid w:val="3A174971"/>
    <w:rsid w:val="3A191236"/>
    <w:rsid w:val="3A194117"/>
    <w:rsid w:val="3A2044B9"/>
    <w:rsid w:val="3A234B2E"/>
    <w:rsid w:val="3A273045"/>
    <w:rsid w:val="3A2D66B8"/>
    <w:rsid w:val="3A36522F"/>
    <w:rsid w:val="3A375D56"/>
    <w:rsid w:val="3A3E4729"/>
    <w:rsid w:val="3A521589"/>
    <w:rsid w:val="3A5D1B84"/>
    <w:rsid w:val="3A5F45D1"/>
    <w:rsid w:val="3A675D63"/>
    <w:rsid w:val="3A6B7FBB"/>
    <w:rsid w:val="3A7257F0"/>
    <w:rsid w:val="3A843A00"/>
    <w:rsid w:val="3A935D24"/>
    <w:rsid w:val="3A9F7948"/>
    <w:rsid w:val="3AA02CE4"/>
    <w:rsid w:val="3AA628ED"/>
    <w:rsid w:val="3AAB6C4F"/>
    <w:rsid w:val="3AAC6356"/>
    <w:rsid w:val="3AB10B58"/>
    <w:rsid w:val="3AB202B5"/>
    <w:rsid w:val="3AB23C38"/>
    <w:rsid w:val="3AB9031E"/>
    <w:rsid w:val="3ABA4B72"/>
    <w:rsid w:val="3AC22405"/>
    <w:rsid w:val="3AC76FD5"/>
    <w:rsid w:val="3ACB4184"/>
    <w:rsid w:val="3ACE1617"/>
    <w:rsid w:val="3ACF398B"/>
    <w:rsid w:val="3AD304FB"/>
    <w:rsid w:val="3AD31906"/>
    <w:rsid w:val="3AD969F8"/>
    <w:rsid w:val="3ADA3F1A"/>
    <w:rsid w:val="3AE274F9"/>
    <w:rsid w:val="3AED1AD3"/>
    <w:rsid w:val="3AFD1BC4"/>
    <w:rsid w:val="3B001415"/>
    <w:rsid w:val="3B0D7FC4"/>
    <w:rsid w:val="3B25439A"/>
    <w:rsid w:val="3B292DA0"/>
    <w:rsid w:val="3B4C622A"/>
    <w:rsid w:val="3B514E5E"/>
    <w:rsid w:val="3B5427BC"/>
    <w:rsid w:val="3B5E4383"/>
    <w:rsid w:val="3B65256F"/>
    <w:rsid w:val="3B6E7E57"/>
    <w:rsid w:val="3B7343E3"/>
    <w:rsid w:val="3B755E1C"/>
    <w:rsid w:val="3B764017"/>
    <w:rsid w:val="3B7F36AC"/>
    <w:rsid w:val="3B822235"/>
    <w:rsid w:val="3B8334A3"/>
    <w:rsid w:val="3B861D2E"/>
    <w:rsid w:val="3B8876F7"/>
    <w:rsid w:val="3B904C76"/>
    <w:rsid w:val="3B965B95"/>
    <w:rsid w:val="3B9B1BC5"/>
    <w:rsid w:val="3BA2309F"/>
    <w:rsid w:val="3BC25680"/>
    <w:rsid w:val="3BCD449D"/>
    <w:rsid w:val="3BD4695E"/>
    <w:rsid w:val="3BD653F5"/>
    <w:rsid w:val="3BE16ECF"/>
    <w:rsid w:val="3BE91D8C"/>
    <w:rsid w:val="3C0C1744"/>
    <w:rsid w:val="3C117898"/>
    <w:rsid w:val="3C211965"/>
    <w:rsid w:val="3C2352A0"/>
    <w:rsid w:val="3C2E4357"/>
    <w:rsid w:val="3C4708A1"/>
    <w:rsid w:val="3C4B0ED5"/>
    <w:rsid w:val="3C5C7DA9"/>
    <w:rsid w:val="3C7544C5"/>
    <w:rsid w:val="3C790143"/>
    <w:rsid w:val="3C7B6C61"/>
    <w:rsid w:val="3C8904DF"/>
    <w:rsid w:val="3C8C46B6"/>
    <w:rsid w:val="3CA432A0"/>
    <w:rsid w:val="3CA91418"/>
    <w:rsid w:val="3CAF061D"/>
    <w:rsid w:val="3CB63CA9"/>
    <w:rsid w:val="3CBC1B56"/>
    <w:rsid w:val="3CBD3105"/>
    <w:rsid w:val="3CBD75BF"/>
    <w:rsid w:val="3CC33BCC"/>
    <w:rsid w:val="3CCB0903"/>
    <w:rsid w:val="3CCF7FFC"/>
    <w:rsid w:val="3CD043D5"/>
    <w:rsid w:val="3CD641A1"/>
    <w:rsid w:val="3CE2490A"/>
    <w:rsid w:val="3CEA648A"/>
    <w:rsid w:val="3CF10A37"/>
    <w:rsid w:val="3CF70A12"/>
    <w:rsid w:val="3D076AAE"/>
    <w:rsid w:val="3D0870AB"/>
    <w:rsid w:val="3D1502D9"/>
    <w:rsid w:val="3D1D0C51"/>
    <w:rsid w:val="3D304DCB"/>
    <w:rsid w:val="3D350662"/>
    <w:rsid w:val="3D406176"/>
    <w:rsid w:val="3D4F0E5B"/>
    <w:rsid w:val="3D54230E"/>
    <w:rsid w:val="3D555673"/>
    <w:rsid w:val="3D5657CC"/>
    <w:rsid w:val="3D5D2E26"/>
    <w:rsid w:val="3D627E02"/>
    <w:rsid w:val="3D6A54CD"/>
    <w:rsid w:val="3D6C74FD"/>
    <w:rsid w:val="3D6D4167"/>
    <w:rsid w:val="3D6D72DE"/>
    <w:rsid w:val="3D806841"/>
    <w:rsid w:val="3D867278"/>
    <w:rsid w:val="3D876DDA"/>
    <w:rsid w:val="3D8C435B"/>
    <w:rsid w:val="3D8E5ECA"/>
    <w:rsid w:val="3D8F0A2E"/>
    <w:rsid w:val="3D926692"/>
    <w:rsid w:val="3D947997"/>
    <w:rsid w:val="3D966256"/>
    <w:rsid w:val="3DAA0159"/>
    <w:rsid w:val="3DB21166"/>
    <w:rsid w:val="3DB52FFB"/>
    <w:rsid w:val="3DB932B8"/>
    <w:rsid w:val="3DCE0A75"/>
    <w:rsid w:val="3DD86EA7"/>
    <w:rsid w:val="3DDB0FBF"/>
    <w:rsid w:val="3DDD336B"/>
    <w:rsid w:val="3DDF3C84"/>
    <w:rsid w:val="3DF33233"/>
    <w:rsid w:val="3DF55B8D"/>
    <w:rsid w:val="3DF60CA1"/>
    <w:rsid w:val="3DF740D2"/>
    <w:rsid w:val="3DF9770F"/>
    <w:rsid w:val="3E107D22"/>
    <w:rsid w:val="3E1861E9"/>
    <w:rsid w:val="3E1D4DB4"/>
    <w:rsid w:val="3E277BDA"/>
    <w:rsid w:val="3E2942BE"/>
    <w:rsid w:val="3E300439"/>
    <w:rsid w:val="3E320B89"/>
    <w:rsid w:val="3E3906BC"/>
    <w:rsid w:val="3E3F56AB"/>
    <w:rsid w:val="3E494ED3"/>
    <w:rsid w:val="3E4C65C6"/>
    <w:rsid w:val="3E5648B2"/>
    <w:rsid w:val="3E6521B1"/>
    <w:rsid w:val="3E684241"/>
    <w:rsid w:val="3E74207E"/>
    <w:rsid w:val="3E75521D"/>
    <w:rsid w:val="3E7A7FAE"/>
    <w:rsid w:val="3E83245B"/>
    <w:rsid w:val="3E8412E9"/>
    <w:rsid w:val="3E866689"/>
    <w:rsid w:val="3E9328AF"/>
    <w:rsid w:val="3E95067F"/>
    <w:rsid w:val="3E9A4AD7"/>
    <w:rsid w:val="3E9C33E3"/>
    <w:rsid w:val="3E9C501E"/>
    <w:rsid w:val="3EA37D09"/>
    <w:rsid w:val="3EBC27E6"/>
    <w:rsid w:val="3EC226D1"/>
    <w:rsid w:val="3EC70972"/>
    <w:rsid w:val="3ECF4AA3"/>
    <w:rsid w:val="3ED32513"/>
    <w:rsid w:val="3ED84EF8"/>
    <w:rsid w:val="3ED8766D"/>
    <w:rsid w:val="3EDC10D0"/>
    <w:rsid w:val="3EE02D91"/>
    <w:rsid w:val="3EE10368"/>
    <w:rsid w:val="3EF13BC7"/>
    <w:rsid w:val="3EF44FD4"/>
    <w:rsid w:val="3EF53D00"/>
    <w:rsid w:val="3F004080"/>
    <w:rsid w:val="3F035371"/>
    <w:rsid w:val="3F0A4250"/>
    <w:rsid w:val="3F0C4369"/>
    <w:rsid w:val="3F0E021D"/>
    <w:rsid w:val="3F104904"/>
    <w:rsid w:val="3F116F3C"/>
    <w:rsid w:val="3F212A90"/>
    <w:rsid w:val="3F2C4235"/>
    <w:rsid w:val="3F2F35EC"/>
    <w:rsid w:val="3F2F53AA"/>
    <w:rsid w:val="3F3603B6"/>
    <w:rsid w:val="3F505DCB"/>
    <w:rsid w:val="3F5D2E4D"/>
    <w:rsid w:val="3F5F1F5C"/>
    <w:rsid w:val="3F6A5EE0"/>
    <w:rsid w:val="3F707F39"/>
    <w:rsid w:val="3F751F35"/>
    <w:rsid w:val="3F7B5508"/>
    <w:rsid w:val="3F8313C0"/>
    <w:rsid w:val="3F8A14CB"/>
    <w:rsid w:val="3F933E45"/>
    <w:rsid w:val="3F9364E1"/>
    <w:rsid w:val="3F9829AD"/>
    <w:rsid w:val="3F9E0865"/>
    <w:rsid w:val="3FA5009E"/>
    <w:rsid w:val="3FBB16BD"/>
    <w:rsid w:val="3FBB6D1B"/>
    <w:rsid w:val="3FC108EA"/>
    <w:rsid w:val="3FCC037B"/>
    <w:rsid w:val="3FD50D82"/>
    <w:rsid w:val="3FDB1475"/>
    <w:rsid w:val="3FDE5AD9"/>
    <w:rsid w:val="3FE430B6"/>
    <w:rsid w:val="3FE56AF2"/>
    <w:rsid w:val="3FEC1461"/>
    <w:rsid w:val="3FEF205C"/>
    <w:rsid w:val="3FF019F4"/>
    <w:rsid w:val="400039DF"/>
    <w:rsid w:val="40080DEE"/>
    <w:rsid w:val="4011136C"/>
    <w:rsid w:val="40135220"/>
    <w:rsid w:val="401C58CF"/>
    <w:rsid w:val="401C7BD5"/>
    <w:rsid w:val="40227083"/>
    <w:rsid w:val="402417C8"/>
    <w:rsid w:val="402E6E49"/>
    <w:rsid w:val="40372073"/>
    <w:rsid w:val="403A0075"/>
    <w:rsid w:val="403A6B81"/>
    <w:rsid w:val="403B30DF"/>
    <w:rsid w:val="403F1D98"/>
    <w:rsid w:val="404F52A8"/>
    <w:rsid w:val="40522979"/>
    <w:rsid w:val="4053224E"/>
    <w:rsid w:val="405443FA"/>
    <w:rsid w:val="40585F20"/>
    <w:rsid w:val="4068375B"/>
    <w:rsid w:val="40A100CD"/>
    <w:rsid w:val="40A169FE"/>
    <w:rsid w:val="40A82619"/>
    <w:rsid w:val="40B6211F"/>
    <w:rsid w:val="40C2573C"/>
    <w:rsid w:val="40C9499F"/>
    <w:rsid w:val="40CD4120"/>
    <w:rsid w:val="40D34024"/>
    <w:rsid w:val="40D43BA0"/>
    <w:rsid w:val="40DB2C76"/>
    <w:rsid w:val="40E01030"/>
    <w:rsid w:val="40E241CE"/>
    <w:rsid w:val="40E51007"/>
    <w:rsid w:val="40E543FB"/>
    <w:rsid w:val="40E75B26"/>
    <w:rsid w:val="40EA1C0C"/>
    <w:rsid w:val="40EA78D7"/>
    <w:rsid w:val="40EC6C70"/>
    <w:rsid w:val="40EF076E"/>
    <w:rsid w:val="40F42ED9"/>
    <w:rsid w:val="41046039"/>
    <w:rsid w:val="41055305"/>
    <w:rsid w:val="410F42EE"/>
    <w:rsid w:val="41114BBA"/>
    <w:rsid w:val="41153D55"/>
    <w:rsid w:val="411C7CCB"/>
    <w:rsid w:val="412912D7"/>
    <w:rsid w:val="41366B89"/>
    <w:rsid w:val="413C2838"/>
    <w:rsid w:val="413C6D2E"/>
    <w:rsid w:val="416163D3"/>
    <w:rsid w:val="41643D6B"/>
    <w:rsid w:val="41771599"/>
    <w:rsid w:val="418164BE"/>
    <w:rsid w:val="41846039"/>
    <w:rsid w:val="41895256"/>
    <w:rsid w:val="419E6238"/>
    <w:rsid w:val="41A04E11"/>
    <w:rsid w:val="41AA4418"/>
    <w:rsid w:val="41C11C6F"/>
    <w:rsid w:val="41C46440"/>
    <w:rsid w:val="41C6181D"/>
    <w:rsid w:val="41C86EE6"/>
    <w:rsid w:val="41C952EA"/>
    <w:rsid w:val="41CB6BA4"/>
    <w:rsid w:val="41DB0F0D"/>
    <w:rsid w:val="41DF32B5"/>
    <w:rsid w:val="41EC7E80"/>
    <w:rsid w:val="41EE0759"/>
    <w:rsid w:val="41F06F3B"/>
    <w:rsid w:val="41FD1AA1"/>
    <w:rsid w:val="420558C2"/>
    <w:rsid w:val="42057B28"/>
    <w:rsid w:val="421052B2"/>
    <w:rsid w:val="42190CC2"/>
    <w:rsid w:val="42230B1C"/>
    <w:rsid w:val="42274BF1"/>
    <w:rsid w:val="422E3E2B"/>
    <w:rsid w:val="422F36E3"/>
    <w:rsid w:val="42307D25"/>
    <w:rsid w:val="42407C97"/>
    <w:rsid w:val="42491125"/>
    <w:rsid w:val="425C634D"/>
    <w:rsid w:val="42680DCC"/>
    <w:rsid w:val="427A44C2"/>
    <w:rsid w:val="42826BB4"/>
    <w:rsid w:val="42880654"/>
    <w:rsid w:val="42895F72"/>
    <w:rsid w:val="428A5B21"/>
    <w:rsid w:val="428D14EF"/>
    <w:rsid w:val="4296187E"/>
    <w:rsid w:val="42A65AF0"/>
    <w:rsid w:val="42A76AEC"/>
    <w:rsid w:val="42AD56C6"/>
    <w:rsid w:val="42B973E3"/>
    <w:rsid w:val="42E06C96"/>
    <w:rsid w:val="42F17878"/>
    <w:rsid w:val="42F33853"/>
    <w:rsid w:val="42FF71DC"/>
    <w:rsid w:val="42FF7548"/>
    <w:rsid w:val="43006D78"/>
    <w:rsid w:val="43040F32"/>
    <w:rsid w:val="43217EC6"/>
    <w:rsid w:val="432261CB"/>
    <w:rsid w:val="432B1FC3"/>
    <w:rsid w:val="43383591"/>
    <w:rsid w:val="434C3974"/>
    <w:rsid w:val="434D155D"/>
    <w:rsid w:val="43594292"/>
    <w:rsid w:val="435E53D9"/>
    <w:rsid w:val="43617633"/>
    <w:rsid w:val="43671945"/>
    <w:rsid w:val="436B4229"/>
    <w:rsid w:val="436C698F"/>
    <w:rsid w:val="43726DA6"/>
    <w:rsid w:val="437A0D2C"/>
    <w:rsid w:val="437E0430"/>
    <w:rsid w:val="437F5B94"/>
    <w:rsid w:val="438607EE"/>
    <w:rsid w:val="43911F91"/>
    <w:rsid w:val="4394491A"/>
    <w:rsid w:val="43997A97"/>
    <w:rsid w:val="439B27FA"/>
    <w:rsid w:val="43AA1238"/>
    <w:rsid w:val="43AD7FC6"/>
    <w:rsid w:val="43B13F5C"/>
    <w:rsid w:val="43B16683"/>
    <w:rsid w:val="43B255DB"/>
    <w:rsid w:val="43BD07B0"/>
    <w:rsid w:val="43BD5DE5"/>
    <w:rsid w:val="43C17B79"/>
    <w:rsid w:val="43CA6D64"/>
    <w:rsid w:val="43D37F73"/>
    <w:rsid w:val="43D65E39"/>
    <w:rsid w:val="43D6606E"/>
    <w:rsid w:val="43D9217C"/>
    <w:rsid w:val="43EF211F"/>
    <w:rsid w:val="43FE3B45"/>
    <w:rsid w:val="440575E0"/>
    <w:rsid w:val="44084567"/>
    <w:rsid w:val="440A2436"/>
    <w:rsid w:val="441111D7"/>
    <w:rsid w:val="441A5737"/>
    <w:rsid w:val="441C5406"/>
    <w:rsid w:val="44243658"/>
    <w:rsid w:val="442537CE"/>
    <w:rsid w:val="4427452D"/>
    <w:rsid w:val="44286169"/>
    <w:rsid w:val="444C64B0"/>
    <w:rsid w:val="444D54BA"/>
    <w:rsid w:val="44523338"/>
    <w:rsid w:val="445466AB"/>
    <w:rsid w:val="44685683"/>
    <w:rsid w:val="446915D3"/>
    <w:rsid w:val="446E2A13"/>
    <w:rsid w:val="446E4162"/>
    <w:rsid w:val="446E6C1A"/>
    <w:rsid w:val="44742FDB"/>
    <w:rsid w:val="44785D2C"/>
    <w:rsid w:val="448B2102"/>
    <w:rsid w:val="449746A0"/>
    <w:rsid w:val="449D508C"/>
    <w:rsid w:val="44A17386"/>
    <w:rsid w:val="44B13D1C"/>
    <w:rsid w:val="44B15AF7"/>
    <w:rsid w:val="44B36E39"/>
    <w:rsid w:val="44B5382F"/>
    <w:rsid w:val="44C35AE0"/>
    <w:rsid w:val="44C66FC3"/>
    <w:rsid w:val="44E64088"/>
    <w:rsid w:val="44EB4184"/>
    <w:rsid w:val="44EC7013"/>
    <w:rsid w:val="44EF65A4"/>
    <w:rsid w:val="44F02519"/>
    <w:rsid w:val="44F41E19"/>
    <w:rsid w:val="44FB3AE3"/>
    <w:rsid w:val="44FF3C64"/>
    <w:rsid w:val="45020724"/>
    <w:rsid w:val="450453FF"/>
    <w:rsid w:val="45057DFF"/>
    <w:rsid w:val="45061393"/>
    <w:rsid w:val="452454F2"/>
    <w:rsid w:val="452F099B"/>
    <w:rsid w:val="45302F9D"/>
    <w:rsid w:val="4530392C"/>
    <w:rsid w:val="4537221B"/>
    <w:rsid w:val="45427AA4"/>
    <w:rsid w:val="45465B65"/>
    <w:rsid w:val="45494235"/>
    <w:rsid w:val="45496FEB"/>
    <w:rsid w:val="454A33D5"/>
    <w:rsid w:val="454A4868"/>
    <w:rsid w:val="454B37A7"/>
    <w:rsid w:val="45515DC5"/>
    <w:rsid w:val="4552496F"/>
    <w:rsid w:val="455454A2"/>
    <w:rsid w:val="45564CA5"/>
    <w:rsid w:val="455B6233"/>
    <w:rsid w:val="45620AE1"/>
    <w:rsid w:val="456A6A48"/>
    <w:rsid w:val="457C3D14"/>
    <w:rsid w:val="45803914"/>
    <w:rsid w:val="45812191"/>
    <w:rsid w:val="45865E2C"/>
    <w:rsid w:val="45911A43"/>
    <w:rsid w:val="45932AB7"/>
    <w:rsid w:val="4597076B"/>
    <w:rsid w:val="45A16423"/>
    <w:rsid w:val="45A24E61"/>
    <w:rsid w:val="45A26253"/>
    <w:rsid w:val="45A41310"/>
    <w:rsid w:val="45B457B5"/>
    <w:rsid w:val="45D45B14"/>
    <w:rsid w:val="45DE2657"/>
    <w:rsid w:val="45EE5265"/>
    <w:rsid w:val="45F10750"/>
    <w:rsid w:val="45F10EC5"/>
    <w:rsid w:val="45F468CD"/>
    <w:rsid w:val="45F6087F"/>
    <w:rsid w:val="45F91D99"/>
    <w:rsid w:val="46084CE9"/>
    <w:rsid w:val="460F4303"/>
    <w:rsid w:val="46104122"/>
    <w:rsid w:val="46145D8A"/>
    <w:rsid w:val="4616768B"/>
    <w:rsid w:val="462E5E6E"/>
    <w:rsid w:val="462E7E70"/>
    <w:rsid w:val="463144E8"/>
    <w:rsid w:val="46316935"/>
    <w:rsid w:val="463446BC"/>
    <w:rsid w:val="46352BE8"/>
    <w:rsid w:val="463977E7"/>
    <w:rsid w:val="46414DD4"/>
    <w:rsid w:val="46523D01"/>
    <w:rsid w:val="466317E7"/>
    <w:rsid w:val="46674019"/>
    <w:rsid w:val="466E3CCD"/>
    <w:rsid w:val="4676381B"/>
    <w:rsid w:val="46770DC9"/>
    <w:rsid w:val="467744FD"/>
    <w:rsid w:val="46952BDB"/>
    <w:rsid w:val="469B572B"/>
    <w:rsid w:val="46A62763"/>
    <w:rsid w:val="46A72F69"/>
    <w:rsid w:val="46A746F1"/>
    <w:rsid w:val="46A9603F"/>
    <w:rsid w:val="46AB7213"/>
    <w:rsid w:val="46AF30F0"/>
    <w:rsid w:val="46B87DA9"/>
    <w:rsid w:val="46C151AC"/>
    <w:rsid w:val="46C9564B"/>
    <w:rsid w:val="46CD4878"/>
    <w:rsid w:val="46CE6E39"/>
    <w:rsid w:val="46D046FE"/>
    <w:rsid w:val="46D06D98"/>
    <w:rsid w:val="46D67A95"/>
    <w:rsid w:val="46DA4E4A"/>
    <w:rsid w:val="46E12276"/>
    <w:rsid w:val="46E46B2F"/>
    <w:rsid w:val="46EC05E8"/>
    <w:rsid w:val="46F03580"/>
    <w:rsid w:val="46F51A7F"/>
    <w:rsid w:val="46F847CE"/>
    <w:rsid w:val="47071442"/>
    <w:rsid w:val="47140188"/>
    <w:rsid w:val="47143D01"/>
    <w:rsid w:val="4714637D"/>
    <w:rsid w:val="471901B2"/>
    <w:rsid w:val="47274F4A"/>
    <w:rsid w:val="47280D0D"/>
    <w:rsid w:val="472B67B0"/>
    <w:rsid w:val="4737126F"/>
    <w:rsid w:val="47406C6A"/>
    <w:rsid w:val="476B7898"/>
    <w:rsid w:val="47700B34"/>
    <w:rsid w:val="477A6B40"/>
    <w:rsid w:val="477C1D4C"/>
    <w:rsid w:val="479B56E1"/>
    <w:rsid w:val="47B32E9C"/>
    <w:rsid w:val="47EB75CD"/>
    <w:rsid w:val="47EE1DDF"/>
    <w:rsid w:val="47F0441B"/>
    <w:rsid w:val="47F3266D"/>
    <w:rsid w:val="47F5309C"/>
    <w:rsid w:val="47F629BB"/>
    <w:rsid w:val="47FC7C43"/>
    <w:rsid w:val="47FF4B7E"/>
    <w:rsid w:val="480A1AEB"/>
    <w:rsid w:val="480B19F6"/>
    <w:rsid w:val="4810074A"/>
    <w:rsid w:val="4810571B"/>
    <w:rsid w:val="481377D2"/>
    <w:rsid w:val="4814136D"/>
    <w:rsid w:val="481C7815"/>
    <w:rsid w:val="48212AE9"/>
    <w:rsid w:val="482C5B35"/>
    <w:rsid w:val="482E7F81"/>
    <w:rsid w:val="482F460B"/>
    <w:rsid w:val="4837656B"/>
    <w:rsid w:val="48520BA9"/>
    <w:rsid w:val="485C61AC"/>
    <w:rsid w:val="485E0907"/>
    <w:rsid w:val="48641BA5"/>
    <w:rsid w:val="486A31D3"/>
    <w:rsid w:val="486C4CE7"/>
    <w:rsid w:val="48742D49"/>
    <w:rsid w:val="48790497"/>
    <w:rsid w:val="487B0789"/>
    <w:rsid w:val="48894E4D"/>
    <w:rsid w:val="489713C3"/>
    <w:rsid w:val="48A262B1"/>
    <w:rsid w:val="48A61EC2"/>
    <w:rsid w:val="48B122AA"/>
    <w:rsid w:val="48BA3284"/>
    <w:rsid w:val="48BC6665"/>
    <w:rsid w:val="48CB1CC0"/>
    <w:rsid w:val="48CD6110"/>
    <w:rsid w:val="48CF31D1"/>
    <w:rsid w:val="48D027C1"/>
    <w:rsid w:val="48D4307F"/>
    <w:rsid w:val="48D64F1F"/>
    <w:rsid w:val="48D82879"/>
    <w:rsid w:val="48ED280A"/>
    <w:rsid w:val="49013C23"/>
    <w:rsid w:val="49046A59"/>
    <w:rsid w:val="490A52ED"/>
    <w:rsid w:val="49120F3F"/>
    <w:rsid w:val="49163580"/>
    <w:rsid w:val="491E6E1E"/>
    <w:rsid w:val="491F7F64"/>
    <w:rsid w:val="492A1BD4"/>
    <w:rsid w:val="493863CD"/>
    <w:rsid w:val="49470956"/>
    <w:rsid w:val="49494E97"/>
    <w:rsid w:val="494D3EF0"/>
    <w:rsid w:val="494F7DA4"/>
    <w:rsid w:val="49582843"/>
    <w:rsid w:val="495D296B"/>
    <w:rsid w:val="49667C8B"/>
    <w:rsid w:val="497148DC"/>
    <w:rsid w:val="49733467"/>
    <w:rsid w:val="49804B05"/>
    <w:rsid w:val="498755F3"/>
    <w:rsid w:val="498C05AA"/>
    <w:rsid w:val="49955841"/>
    <w:rsid w:val="49A418F2"/>
    <w:rsid w:val="49AA293C"/>
    <w:rsid w:val="49C51552"/>
    <w:rsid w:val="49C8100A"/>
    <w:rsid w:val="49D26F45"/>
    <w:rsid w:val="49F0795B"/>
    <w:rsid w:val="49F215F7"/>
    <w:rsid w:val="49F46361"/>
    <w:rsid w:val="49F7402B"/>
    <w:rsid w:val="49FF2037"/>
    <w:rsid w:val="4A030B7A"/>
    <w:rsid w:val="4A0A7F62"/>
    <w:rsid w:val="4A1B7C1F"/>
    <w:rsid w:val="4A1D00AC"/>
    <w:rsid w:val="4A1E57DE"/>
    <w:rsid w:val="4A1F532D"/>
    <w:rsid w:val="4A236EB1"/>
    <w:rsid w:val="4A267E35"/>
    <w:rsid w:val="4A270A04"/>
    <w:rsid w:val="4A280FB1"/>
    <w:rsid w:val="4A382D24"/>
    <w:rsid w:val="4A3C6268"/>
    <w:rsid w:val="4A414188"/>
    <w:rsid w:val="4A47591B"/>
    <w:rsid w:val="4A4C4C82"/>
    <w:rsid w:val="4A4E3578"/>
    <w:rsid w:val="4A584603"/>
    <w:rsid w:val="4A5E7F8F"/>
    <w:rsid w:val="4A6A1823"/>
    <w:rsid w:val="4A6C4DE3"/>
    <w:rsid w:val="4A6F608D"/>
    <w:rsid w:val="4A737BA7"/>
    <w:rsid w:val="4A7D4145"/>
    <w:rsid w:val="4A885CE1"/>
    <w:rsid w:val="4A9452E5"/>
    <w:rsid w:val="4A984C0D"/>
    <w:rsid w:val="4A9C6A99"/>
    <w:rsid w:val="4A9F2D3A"/>
    <w:rsid w:val="4AA00600"/>
    <w:rsid w:val="4AAF6F96"/>
    <w:rsid w:val="4ABE4F66"/>
    <w:rsid w:val="4ABF0894"/>
    <w:rsid w:val="4AC24E43"/>
    <w:rsid w:val="4AD124CC"/>
    <w:rsid w:val="4AD360E5"/>
    <w:rsid w:val="4ADB4E28"/>
    <w:rsid w:val="4AE17881"/>
    <w:rsid w:val="4AE80BC0"/>
    <w:rsid w:val="4AEF6A2D"/>
    <w:rsid w:val="4AF16114"/>
    <w:rsid w:val="4AF46C58"/>
    <w:rsid w:val="4AF75899"/>
    <w:rsid w:val="4AF76666"/>
    <w:rsid w:val="4B05634E"/>
    <w:rsid w:val="4B163B35"/>
    <w:rsid w:val="4B170E1E"/>
    <w:rsid w:val="4B1A46C6"/>
    <w:rsid w:val="4B1A687B"/>
    <w:rsid w:val="4B1B110F"/>
    <w:rsid w:val="4B2517BD"/>
    <w:rsid w:val="4B2C12BC"/>
    <w:rsid w:val="4B331DC4"/>
    <w:rsid w:val="4B333D7A"/>
    <w:rsid w:val="4B3422A0"/>
    <w:rsid w:val="4B4D3A8C"/>
    <w:rsid w:val="4B5146DF"/>
    <w:rsid w:val="4B5523AC"/>
    <w:rsid w:val="4B554CA4"/>
    <w:rsid w:val="4B5D5A49"/>
    <w:rsid w:val="4B667F15"/>
    <w:rsid w:val="4B675035"/>
    <w:rsid w:val="4B7511C7"/>
    <w:rsid w:val="4B766FBE"/>
    <w:rsid w:val="4B7F49FA"/>
    <w:rsid w:val="4B85737C"/>
    <w:rsid w:val="4B8D0681"/>
    <w:rsid w:val="4B904797"/>
    <w:rsid w:val="4B92038C"/>
    <w:rsid w:val="4B95302F"/>
    <w:rsid w:val="4B9D0457"/>
    <w:rsid w:val="4B9F1C20"/>
    <w:rsid w:val="4BA71C55"/>
    <w:rsid w:val="4BB31E0A"/>
    <w:rsid w:val="4BB45EE7"/>
    <w:rsid w:val="4BB51EF1"/>
    <w:rsid w:val="4BC10FFE"/>
    <w:rsid w:val="4BC74E08"/>
    <w:rsid w:val="4BCB3BDA"/>
    <w:rsid w:val="4BD07997"/>
    <w:rsid w:val="4BD101CA"/>
    <w:rsid w:val="4BDC22D5"/>
    <w:rsid w:val="4BDD1245"/>
    <w:rsid w:val="4BDF3E16"/>
    <w:rsid w:val="4BE971AF"/>
    <w:rsid w:val="4BF749EC"/>
    <w:rsid w:val="4BFB1C38"/>
    <w:rsid w:val="4BFB266E"/>
    <w:rsid w:val="4BFE1C3A"/>
    <w:rsid w:val="4C042857"/>
    <w:rsid w:val="4C1003D8"/>
    <w:rsid w:val="4C1304F8"/>
    <w:rsid w:val="4C201C53"/>
    <w:rsid w:val="4C21446F"/>
    <w:rsid w:val="4C251AA6"/>
    <w:rsid w:val="4C315F18"/>
    <w:rsid w:val="4C352DA8"/>
    <w:rsid w:val="4C366477"/>
    <w:rsid w:val="4C4113CF"/>
    <w:rsid w:val="4C427560"/>
    <w:rsid w:val="4C5545C5"/>
    <w:rsid w:val="4C6B6EBB"/>
    <w:rsid w:val="4C6C2A7A"/>
    <w:rsid w:val="4C6F66E5"/>
    <w:rsid w:val="4C784DCE"/>
    <w:rsid w:val="4C786851"/>
    <w:rsid w:val="4C7E2F03"/>
    <w:rsid w:val="4C812213"/>
    <w:rsid w:val="4C8A729F"/>
    <w:rsid w:val="4C8E73B9"/>
    <w:rsid w:val="4C942881"/>
    <w:rsid w:val="4C98016E"/>
    <w:rsid w:val="4CA8258C"/>
    <w:rsid w:val="4CAF266F"/>
    <w:rsid w:val="4CB3144A"/>
    <w:rsid w:val="4CB36D43"/>
    <w:rsid w:val="4CB45135"/>
    <w:rsid w:val="4CC13ECD"/>
    <w:rsid w:val="4CC451D3"/>
    <w:rsid w:val="4CC84765"/>
    <w:rsid w:val="4CCE3DBA"/>
    <w:rsid w:val="4CD020F9"/>
    <w:rsid w:val="4CD1365E"/>
    <w:rsid w:val="4CDF33B0"/>
    <w:rsid w:val="4CE50D46"/>
    <w:rsid w:val="4CEB05BD"/>
    <w:rsid w:val="4CFC6D55"/>
    <w:rsid w:val="4D0550A8"/>
    <w:rsid w:val="4D072C92"/>
    <w:rsid w:val="4D09197C"/>
    <w:rsid w:val="4D0B17EF"/>
    <w:rsid w:val="4D0E4802"/>
    <w:rsid w:val="4D1025A0"/>
    <w:rsid w:val="4D2F7723"/>
    <w:rsid w:val="4D30496D"/>
    <w:rsid w:val="4D3267B3"/>
    <w:rsid w:val="4D3E2904"/>
    <w:rsid w:val="4D406BD1"/>
    <w:rsid w:val="4D4B585B"/>
    <w:rsid w:val="4D4C2227"/>
    <w:rsid w:val="4D4D41B6"/>
    <w:rsid w:val="4D5047B5"/>
    <w:rsid w:val="4D605A45"/>
    <w:rsid w:val="4D700028"/>
    <w:rsid w:val="4D73501E"/>
    <w:rsid w:val="4D76573F"/>
    <w:rsid w:val="4D811DB6"/>
    <w:rsid w:val="4D831E51"/>
    <w:rsid w:val="4D9B4759"/>
    <w:rsid w:val="4D9F2721"/>
    <w:rsid w:val="4DA44E4F"/>
    <w:rsid w:val="4DB3573A"/>
    <w:rsid w:val="4DBC31EA"/>
    <w:rsid w:val="4DBD72B9"/>
    <w:rsid w:val="4DC537A4"/>
    <w:rsid w:val="4DCE74AD"/>
    <w:rsid w:val="4DD2413B"/>
    <w:rsid w:val="4DD8077E"/>
    <w:rsid w:val="4DF521AC"/>
    <w:rsid w:val="4E034B69"/>
    <w:rsid w:val="4E07713E"/>
    <w:rsid w:val="4E0A2800"/>
    <w:rsid w:val="4E0D58C8"/>
    <w:rsid w:val="4E145C74"/>
    <w:rsid w:val="4E1B7929"/>
    <w:rsid w:val="4E427D40"/>
    <w:rsid w:val="4E4839BC"/>
    <w:rsid w:val="4E4F1509"/>
    <w:rsid w:val="4E5079C5"/>
    <w:rsid w:val="4E520348"/>
    <w:rsid w:val="4E5C64FB"/>
    <w:rsid w:val="4E623BD3"/>
    <w:rsid w:val="4E713592"/>
    <w:rsid w:val="4E7906E7"/>
    <w:rsid w:val="4E7A5C74"/>
    <w:rsid w:val="4E837C45"/>
    <w:rsid w:val="4E84615C"/>
    <w:rsid w:val="4E926F9F"/>
    <w:rsid w:val="4E993495"/>
    <w:rsid w:val="4EA30D9D"/>
    <w:rsid w:val="4EA3194E"/>
    <w:rsid w:val="4EA31AE4"/>
    <w:rsid w:val="4EA448E0"/>
    <w:rsid w:val="4EA76E89"/>
    <w:rsid w:val="4EAF2828"/>
    <w:rsid w:val="4EB175DB"/>
    <w:rsid w:val="4EB2058C"/>
    <w:rsid w:val="4EB60C48"/>
    <w:rsid w:val="4EBE17BD"/>
    <w:rsid w:val="4EDE147E"/>
    <w:rsid w:val="4EEA3967"/>
    <w:rsid w:val="4EEF1B44"/>
    <w:rsid w:val="4F02752A"/>
    <w:rsid w:val="4F094887"/>
    <w:rsid w:val="4F0A0EE8"/>
    <w:rsid w:val="4F0A27C3"/>
    <w:rsid w:val="4F0C0C4A"/>
    <w:rsid w:val="4F0F005F"/>
    <w:rsid w:val="4F165D52"/>
    <w:rsid w:val="4F16796B"/>
    <w:rsid w:val="4F1D369F"/>
    <w:rsid w:val="4F1E3C2F"/>
    <w:rsid w:val="4F213A90"/>
    <w:rsid w:val="4F290247"/>
    <w:rsid w:val="4F2F1151"/>
    <w:rsid w:val="4F323CD2"/>
    <w:rsid w:val="4F332C0A"/>
    <w:rsid w:val="4F394007"/>
    <w:rsid w:val="4F3B2459"/>
    <w:rsid w:val="4F3B460A"/>
    <w:rsid w:val="4F3E6A4A"/>
    <w:rsid w:val="4F3F35F0"/>
    <w:rsid w:val="4F433DC8"/>
    <w:rsid w:val="4F4628B7"/>
    <w:rsid w:val="4F4B51A5"/>
    <w:rsid w:val="4F4E6EC7"/>
    <w:rsid w:val="4F524C77"/>
    <w:rsid w:val="4F537993"/>
    <w:rsid w:val="4F545D86"/>
    <w:rsid w:val="4F5D5E43"/>
    <w:rsid w:val="4F6A4BAC"/>
    <w:rsid w:val="4F6D419F"/>
    <w:rsid w:val="4F794A6A"/>
    <w:rsid w:val="4F794D40"/>
    <w:rsid w:val="4F7978AA"/>
    <w:rsid w:val="4F7F2195"/>
    <w:rsid w:val="4F843B05"/>
    <w:rsid w:val="4F940769"/>
    <w:rsid w:val="4F977594"/>
    <w:rsid w:val="4F9A71CF"/>
    <w:rsid w:val="4F9D1E4C"/>
    <w:rsid w:val="4FA14EEC"/>
    <w:rsid w:val="4FA25A10"/>
    <w:rsid w:val="4FA5472B"/>
    <w:rsid w:val="4FA84227"/>
    <w:rsid w:val="4FAD2047"/>
    <w:rsid w:val="4FB4580A"/>
    <w:rsid w:val="4FB76356"/>
    <w:rsid w:val="4FC231DA"/>
    <w:rsid w:val="4FD02F23"/>
    <w:rsid w:val="4FD9320F"/>
    <w:rsid w:val="4FDD1D8F"/>
    <w:rsid w:val="4FE223EE"/>
    <w:rsid w:val="4FE3097A"/>
    <w:rsid w:val="4FE962D0"/>
    <w:rsid w:val="4FEE795D"/>
    <w:rsid w:val="4FFD3A77"/>
    <w:rsid w:val="500471AF"/>
    <w:rsid w:val="50091D29"/>
    <w:rsid w:val="500F1637"/>
    <w:rsid w:val="501034A9"/>
    <w:rsid w:val="50120DEA"/>
    <w:rsid w:val="501429AB"/>
    <w:rsid w:val="501E5109"/>
    <w:rsid w:val="501F59A7"/>
    <w:rsid w:val="50205112"/>
    <w:rsid w:val="50344D2A"/>
    <w:rsid w:val="503642D7"/>
    <w:rsid w:val="503850FB"/>
    <w:rsid w:val="503D3F59"/>
    <w:rsid w:val="504E1D2D"/>
    <w:rsid w:val="50580114"/>
    <w:rsid w:val="505B7399"/>
    <w:rsid w:val="50601B3E"/>
    <w:rsid w:val="50650862"/>
    <w:rsid w:val="50681179"/>
    <w:rsid w:val="50837BFA"/>
    <w:rsid w:val="508558A6"/>
    <w:rsid w:val="5095674A"/>
    <w:rsid w:val="50A01EE7"/>
    <w:rsid w:val="50A6221C"/>
    <w:rsid w:val="50AC4C20"/>
    <w:rsid w:val="50AE00AE"/>
    <w:rsid w:val="50B13272"/>
    <w:rsid w:val="50B61B8B"/>
    <w:rsid w:val="50B7359F"/>
    <w:rsid w:val="50B96100"/>
    <w:rsid w:val="50C1016C"/>
    <w:rsid w:val="50C13C5F"/>
    <w:rsid w:val="50C16C1C"/>
    <w:rsid w:val="50C2570B"/>
    <w:rsid w:val="50C47696"/>
    <w:rsid w:val="50C577D9"/>
    <w:rsid w:val="50CB7B01"/>
    <w:rsid w:val="50CE5CE7"/>
    <w:rsid w:val="50D047FA"/>
    <w:rsid w:val="50D16CF7"/>
    <w:rsid w:val="50E00158"/>
    <w:rsid w:val="50E8434B"/>
    <w:rsid w:val="50F0291C"/>
    <w:rsid w:val="50F5073D"/>
    <w:rsid w:val="50F83FA2"/>
    <w:rsid w:val="5100536A"/>
    <w:rsid w:val="5108250F"/>
    <w:rsid w:val="51166C53"/>
    <w:rsid w:val="51183F80"/>
    <w:rsid w:val="51286AE9"/>
    <w:rsid w:val="51334745"/>
    <w:rsid w:val="51355ACC"/>
    <w:rsid w:val="5135798F"/>
    <w:rsid w:val="51565130"/>
    <w:rsid w:val="51565694"/>
    <w:rsid w:val="51645D69"/>
    <w:rsid w:val="516C5BB7"/>
    <w:rsid w:val="517C1235"/>
    <w:rsid w:val="518741CF"/>
    <w:rsid w:val="51881606"/>
    <w:rsid w:val="518A6068"/>
    <w:rsid w:val="518B3A0C"/>
    <w:rsid w:val="518B6393"/>
    <w:rsid w:val="518E2820"/>
    <w:rsid w:val="518F13B9"/>
    <w:rsid w:val="51992F63"/>
    <w:rsid w:val="519C6C10"/>
    <w:rsid w:val="519D65FC"/>
    <w:rsid w:val="51A407AF"/>
    <w:rsid w:val="51A5488F"/>
    <w:rsid w:val="51AA4B13"/>
    <w:rsid w:val="51AC5137"/>
    <w:rsid w:val="51AD56E1"/>
    <w:rsid w:val="51B463DB"/>
    <w:rsid w:val="51B93C78"/>
    <w:rsid w:val="51BA3724"/>
    <w:rsid w:val="51BD0E26"/>
    <w:rsid w:val="51C31254"/>
    <w:rsid w:val="51C979DD"/>
    <w:rsid w:val="51CA5F3D"/>
    <w:rsid w:val="51D56E1A"/>
    <w:rsid w:val="51D65A91"/>
    <w:rsid w:val="51E20465"/>
    <w:rsid w:val="51F169E1"/>
    <w:rsid w:val="520A22AE"/>
    <w:rsid w:val="52132555"/>
    <w:rsid w:val="52135BFC"/>
    <w:rsid w:val="52176582"/>
    <w:rsid w:val="52247A0F"/>
    <w:rsid w:val="52304FAA"/>
    <w:rsid w:val="52307478"/>
    <w:rsid w:val="52385792"/>
    <w:rsid w:val="523D42DD"/>
    <w:rsid w:val="523F34A0"/>
    <w:rsid w:val="523F6AFF"/>
    <w:rsid w:val="52480D46"/>
    <w:rsid w:val="524F31BF"/>
    <w:rsid w:val="52514A0D"/>
    <w:rsid w:val="52613CD4"/>
    <w:rsid w:val="526731FC"/>
    <w:rsid w:val="526C5746"/>
    <w:rsid w:val="526D7DB4"/>
    <w:rsid w:val="5273265C"/>
    <w:rsid w:val="52815ED9"/>
    <w:rsid w:val="5285330B"/>
    <w:rsid w:val="52853336"/>
    <w:rsid w:val="52881D50"/>
    <w:rsid w:val="528D7640"/>
    <w:rsid w:val="52914064"/>
    <w:rsid w:val="52991222"/>
    <w:rsid w:val="529B3EC4"/>
    <w:rsid w:val="529C7876"/>
    <w:rsid w:val="52A01DD3"/>
    <w:rsid w:val="52A22582"/>
    <w:rsid w:val="52BD4DE3"/>
    <w:rsid w:val="52C1084B"/>
    <w:rsid w:val="52C357DA"/>
    <w:rsid w:val="52CA2C42"/>
    <w:rsid w:val="52DB19FD"/>
    <w:rsid w:val="52E53EC9"/>
    <w:rsid w:val="52E86208"/>
    <w:rsid w:val="52EE339D"/>
    <w:rsid w:val="52F61E27"/>
    <w:rsid w:val="52F64812"/>
    <w:rsid w:val="5306292A"/>
    <w:rsid w:val="530822C8"/>
    <w:rsid w:val="530957A1"/>
    <w:rsid w:val="530B4BCC"/>
    <w:rsid w:val="530C1E03"/>
    <w:rsid w:val="5317233C"/>
    <w:rsid w:val="531A341A"/>
    <w:rsid w:val="532B3A0E"/>
    <w:rsid w:val="532E661A"/>
    <w:rsid w:val="533137BF"/>
    <w:rsid w:val="53363A3C"/>
    <w:rsid w:val="533C647A"/>
    <w:rsid w:val="533E1E81"/>
    <w:rsid w:val="53511DEE"/>
    <w:rsid w:val="535F3AF3"/>
    <w:rsid w:val="536A76FF"/>
    <w:rsid w:val="536C0593"/>
    <w:rsid w:val="536E10CF"/>
    <w:rsid w:val="536F1AF1"/>
    <w:rsid w:val="536F3F83"/>
    <w:rsid w:val="53703E8D"/>
    <w:rsid w:val="53707DDE"/>
    <w:rsid w:val="537334C7"/>
    <w:rsid w:val="537810B7"/>
    <w:rsid w:val="537E0058"/>
    <w:rsid w:val="538263E3"/>
    <w:rsid w:val="5391759C"/>
    <w:rsid w:val="53950AA6"/>
    <w:rsid w:val="53A8102E"/>
    <w:rsid w:val="53AD2AB2"/>
    <w:rsid w:val="53BF0C0D"/>
    <w:rsid w:val="53C07F94"/>
    <w:rsid w:val="53C33DA1"/>
    <w:rsid w:val="53C502CE"/>
    <w:rsid w:val="53C71634"/>
    <w:rsid w:val="53D02F55"/>
    <w:rsid w:val="53D87615"/>
    <w:rsid w:val="53DE3E24"/>
    <w:rsid w:val="53E12D9E"/>
    <w:rsid w:val="53E23B4F"/>
    <w:rsid w:val="53E64B1C"/>
    <w:rsid w:val="53E8652B"/>
    <w:rsid w:val="53EB486A"/>
    <w:rsid w:val="53EB670C"/>
    <w:rsid w:val="53EE67E9"/>
    <w:rsid w:val="53FD1C03"/>
    <w:rsid w:val="54015914"/>
    <w:rsid w:val="54020BC2"/>
    <w:rsid w:val="540310FA"/>
    <w:rsid w:val="54037045"/>
    <w:rsid w:val="540817F6"/>
    <w:rsid w:val="541B41D6"/>
    <w:rsid w:val="541C37E8"/>
    <w:rsid w:val="54270E2A"/>
    <w:rsid w:val="54270F5B"/>
    <w:rsid w:val="542925D7"/>
    <w:rsid w:val="542C30A8"/>
    <w:rsid w:val="54316FB4"/>
    <w:rsid w:val="543241A9"/>
    <w:rsid w:val="543278C6"/>
    <w:rsid w:val="54382594"/>
    <w:rsid w:val="543E515D"/>
    <w:rsid w:val="543F413B"/>
    <w:rsid w:val="543F6DB4"/>
    <w:rsid w:val="544561BC"/>
    <w:rsid w:val="544B0D54"/>
    <w:rsid w:val="545045C9"/>
    <w:rsid w:val="545568EB"/>
    <w:rsid w:val="54591CDE"/>
    <w:rsid w:val="54625354"/>
    <w:rsid w:val="546D6CCA"/>
    <w:rsid w:val="546F2ECB"/>
    <w:rsid w:val="54751375"/>
    <w:rsid w:val="54762AD5"/>
    <w:rsid w:val="547F7E40"/>
    <w:rsid w:val="54946A57"/>
    <w:rsid w:val="54984A43"/>
    <w:rsid w:val="54A127DB"/>
    <w:rsid w:val="54AD20F2"/>
    <w:rsid w:val="54B55CE3"/>
    <w:rsid w:val="54B9208D"/>
    <w:rsid w:val="54BA614C"/>
    <w:rsid w:val="54C557E7"/>
    <w:rsid w:val="54C65EC0"/>
    <w:rsid w:val="54CD42D6"/>
    <w:rsid w:val="54D006DC"/>
    <w:rsid w:val="54D43100"/>
    <w:rsid w:val="54DD7AC9"/>
    <w:rsid w:val="55053315"/>
    <w:rsid w:val="55067A64"/>
    <w:rsid w:val="5508043A"/>
    <w:rsid w:val="550F5D1A"/>
    <w:rsid w:val="55171F21"/>
    <w:rsid w:val="551C1C56"/>
    <w:rsid w:val="552760F6"/>
    <w:rsid w:val="552A09F4"/>
    <w:rsid w:val="552C4622"/>
    <w:rsid w:val="5532296D"/>
    <w:rsid w:val="553857AD"/>
    <w:rsid w:val="553D5564"/>
    <w:rsid w:val="55484257"/>
    <w:rsid w:val="554D154C"/>
    <w:rsid w:val="555154EE"/>
    <w:rsid w:val="5560481F"/>
    <w:rsid w:val="557414CA"/>
    <w:rsid w:val="558859E4"/>
    <w:rsid w:val="558F4A1E"/>
    <w:rsid w:val="55905858"/>
    <w:rsid w:val="55917E28"/>
    <w:rsid w:val="559417F6"/>
    <w:rsid w:val="55942252"/>
    <w:rsid w:val="55987FBD"/>
    <w:rsid w:val="559E64C4"/>
    <w:rsid w:val="55AC7BE9"/>
    <w:rsid w:val="55B41C64"/>
    <w:rsid w:val="55C47B84"/>
    <w:rsid w:val="55CB0EA2"/>
    <w:rsid w:val="55CC6847"/>
    <w:rsid w:val="55DD6540"/>
    <w:rsid w:val="55EC2897"/>
    <w:rsid w:val="55F157AA"/>
    <w:rsid w:val="55F64FF7"/>
    <w:rsid w:val="55F71F0D"/>
    <w:rsid w:val="55FA0B35"/>
    <w:rsid w:val="55FA242D"/>
    <w:rsid w:val="561A7A66"/>
    <w:rsid w:val="561F5EA7"/>
    <w:rsid w:val="56254C95"/>
    <w:rsid w:val="56290B5D"/>
    <w:rsid w:val="5630640C"/>
    <w:rsid w:val="56363D57"/>
    <w:rsid w:val="56370731"/>
    <w:rsid w:val="563A5F22"/>
    <w:rsid w:val="56490020"/>
    <w:rsid w:val="5652511E"/>
    <w:rsid w:val="56543A0D"/>
    <w:rsid w:val="565C0156"/>
    <w:rsid w:val="56631E3E"/>
    <w:rsid w:val="566832A7"/>
    <w:rsid w:val="566B50BC"/>
    <w:rsid w:val="566E08BF"/>
    <w:rsid w:val="567B1001"/>
    <w:rsid w:val="569D1575"/>
    <w:rsid w:val="569E1AC8"/>
    <w:rsid w:val="56A4132F"/>
    <w:rsid w:val="56A506B4"/>
    <w:rsid w:val="56AC279F"/>
    <w:rsid w:val="56AF2E6F"/>
    <w:rsid w:val="56B1096B"/>
    <w:rsid w:val="56D94DD2"/>
    <w:rsid w:val="56DF0963"/>
    <w:rsid w:val="56E2575C"/>
    <w:rsid w:val="56E31118"/>
    <w:rsid w:val="56E46A8E"/>
    <w:rsid w:val="56F37D3E"/>
    <w:rsid w:val="56F473C0"/>
    <w:rsid w:val="56F50139"/>
    <w:rsid w:val="56FD3D8C"/>
    <w:rsid w:val="57022EA8"/>
    <w:rsid w:val="57065F83"/>
    <w:rsid w:val="57097BE4"/>
    <w:rsid w:val="570B6550"/>
    <w:rsid w:val="571261F4"/>
    <w:rsid w:val="57196157"/>
    <w:rsid w:val="571A7074"/>
    <w:rsid w:val="571C2DEB"/>
    <w:rsid w:val="571D3D42"/>
    <w:rsid w:val="57231525"/>
    <w:rsid w:val="573D1263"/>
    <w:rsid w:val="573D632F"/>
    <w:rsid w:val="573F3C29"/>
    <w:rsid w:val="5741590E"/>
    <w:rsid w:val="57463EC2"/>
    <w:rsid w:val="57484C26"/>
    <w:rsid w:val="57497ECE"/>
    <w:rsid w:val="5758628A"/>
    <w:rsid w:val="575C2573"/>
    <w:rsid w:val="575C550F"/>
    <w:rsid w:val="57641F8B"/>
    <w:rsid w:val="57685DFD"/>
    <w:rsid w:val="57745BB6"/>
    <w:rsid w:val="577A7043"/>
    <w:rsid w:val="577C7607"/>
    <w:rsid w:val="577F1DCC"/>
    <w:rsid w:val="57837CF9"/>
    <w:rsid w:val="57855787"/>
    <w:rsid w:val="5788008D"/>
    <w:rsid w:val="578A1BF3"/>
    <w:rsid w:val="5791383A"/>
    <w:rsid w:val="57940EB9"/>
    <w:rsid w:val="579C1BCB"/>
    <w:rsid w:val="579D67A7"/>
    <w:rsid w:val="57A06E77"/>
    <w:rsid w:val="57AC28B7"/>
    <w:rsid w:val="57AE6086"/>
    <w:rsid w:val="57B02739"/>
    <w:rsid w:val="57BD109C"/>
    <w:rsid w:val="57BD6C04"/>
    <w:rsid w:val="57C23595"/>
    <w:rsid w:val="57C36ACD"/>
    <w:rsid w:val="57C51573"/>
    <w:rsid w:val="57D6036B"/>
    <w:rsid w:val="57D6484A"/>
    <w:rsid w:val="57DE28CC"/>
    <w:rsid w:val="57E5708B"/>
    <w:rsid w:val="57EA372B"/>
    <w:rsid w:val="57EF1042"/>
    <w:rsid w:val="57F347D8"/>
    <w:rsid w:val="57FC5FB2"/>
    <w:rsid w:val="57FF606E"/>
    <w:rsid w:val="580716CC"/>
    <w:rsid w:val="580D321B"/>
    <w:rsid w:val="58220A26"/>
    <w:rsid w:val="58227B1F"/>
    <w:rsid w:val="5825179D"/>
    <w:rsid w:val="583320C9"/>
    <w:rsid w:val="58381DBD"/>
    <w:rsid w:val="58394C38"/>
    <w:rsid w:val="583E2F8C"/>
    <w:rsid w:val="58423CCA"/>
    <w:rsid w:val="58446DBA"/>
    <w:rsid w:val="58481CE4"/>
    <w:rsid w:val="584B7C06"/>
    <w:rsid w:val="58510290"/>
    <w:rsid w:val="58535DB5"/>
    <w:rsid w:val="58553705"/>
    <w:rsid w:val="5855370B"/>
    <w:rsid w:val="58590F71"/>
    <w:rsid w:val="585A7569"/>
    <w:rsid w:val="587651AC"/>
    <w:rsid w:val="587939C8"/>
    <w:rsid w:val="587A7AD3"/>
    <w:rsid w:val="588833FD"/>
    <w:rsid w:val="58931910"/>
    <w:rsid w:val="58932063"/>
    <w:rsid w:val="58994F91"/>
    <w:rsid w:val="589C0EF2"/>
    <w:rsid w:val="58A921CB"/>
    <w:rsid w:val="58AC2F74"/>
    <w:rsid w:val="58B31A8B"/>
    <w:rsid w:val="58B31DD9"/>
    <w:rsid w:val="58B43028"/>
    <w:rsid w:val="58B91125"/>
    <w:rsid w:val="58C07443"/>
    <w:rsid w:val="58C64CF3"/>
    <w:rsid w:val="58C8518C"/>
    <w:rsid w:val="58CB283B"/>
    <w:rsid w:val="58CB3B78"/>
    <w:rsid w:val="58CB6A3A"/>
    <w:rsid w:val="58D07980"/>
    <w:rsid w:val="58D16799"/>
    <w:rsid w:val="58D21B64"/>
    <w:rsid w:val="58E36F3B"/>
    <w:rsid w:val="58EC7F3F"/>
    <w:rsid w:val="58F66BE7"/>
    <w:rsid w:val="58FB4FB5"/>
    <w:rsid w:val="58FF03F4"/>
    <w:rsid w:val="59096497"/>
    <w:rsid w:val="590D2328"/>
    <w:rsid w:val="590F51DD"/>
    <w:rsid w:val="5910252B"/>
    <w:rsid w:val="59103CAB"/>
    <w:rsid w:val="59232C0B"/>
    <w:rsid w:val="59251BA8"/>
    <w:rsid w:val="5927575C"/>
    <w:rsid w:val="5927701A"/>
    <w:rsid w:val="593A62F9"/>
    <w:rsid w:val="593E34F6"/>
    <w:rsid w:val="593E4EE7"/>
    <w:rsid w:val="594D06B7"/>
    <w:rsid w:val="595258C3"/>
    <w:rsid w:val="59537D58"/>
    <w:rsid w:val="59547D76"/>
    <w:rsid w:val="59560D28"/>
    <w:rsid w:val="59587923"/>
    <w:rsid w:val="595E4B6A"/>
    <w:rsid w:val="596E38CF"/>
    <w:rsid w:val="597123DA"/>
    <w:rsid w:val="59754648"/>
    <w:rsid w:val="597B6E60"/>
    <w:rsid w:val="598D03EC"/>
    <w:rsid w:val="598D7696"/>
    <w:rsid w:val="59971C18"/>
    <w:rsid w:val="599C0038"/>
    <w:rsid w:val="59A02ED8"/>
    <w:rsid w:val="59A874AD"/>
    <w:rsid w:val="59AB2777"/>
    <w:rsid w:val="59AD1771"/>
    <w:rsid w:val="59C43D4D"/>
    <w:rsid w:val="59C4486C"/>
    <w:rsid w:val="59C83A39"/>
    <w:rsid w:val="59CD0FC2"/>
    <w:rsid w:val="59D746D7"/>
    <w:rsid w:val="59DE6A0D"/>
    <w:rsid w:val="59F22456"/>
    <w:rsid w:val="59F23EF9"/>
    <w:rsid w:val="59F40C9E"/>
    <w:rsid w:val="59FB18DA"/>
    <w:rsid w:val="5A08769B"/>
    <w:rsid w:val="5A0D6D49"/>
    <w:rsid w:val="5A0F30F8"/>
    <w:rsid w:val="5A220958"/>
    <w:rsid w:val="5A245D72"/>
    <w:rsid w:val="5A261DCD"/>
    <w:rsid w:val="5A315F05"/>
    <w:rsid w:val="5A3178E0"/>
    <w:rsid w:val="5A344989"/>
    <w:rsid w:val="5A361544"/>
    <w:rsid w:val="5A3C7C5E"/>
    <w:rsid w:val="5A3D2537"/>
    <w:rsid w:val="5A3F108A"/>
    <w:rsid w:val="5A400887"/>
    <w:rsid w:val="5A425322"/>
    <w:rsid w:val="5A596770"/>
    <w:rsid w:val="5A5B363C"/>
    <w:rsid w:val="5A63484A"/>
    <w:rsid w:val="5A66425D"/>
    <w:rsid w:val="5A692FE3"/>
    <w:rsid w:val="5A6D76C0"/>
    <w:rsid w:val="5A723A0D"/>
    <w:rsid w:val="5A762255"/>
    <w:rsid w:val="5A780BD5"/>
    <w:rsid w:val="5A833B0D"/>
    <w:rsid w:val="5A8627C8"/>
    <w:rsid w:val="5A883F28"/>
    <w:rsid w:val="5A8D529D"/>
    <w:rsid w:val="5A920839"/>
    <w:rsid w:val="5A9939BB"/>
    <w:rsid w:val="5A9959AB"/>
    <w:rsid w:val="5A9A7C44"/>
    <w:rsid w:val="5A9D621A"/>
    <w:rsid w:val="5AAF7ED4"/>
    <w:rsid w:val="5AB17106"/>
    <w:rsid w:val="5AB70B64"/>
    <w:rsid w:val="5AC219D6"/>
    <w:rsid w:val="5AC558FB"/>
    <w:rsid w:val="5AC7557B"/>
    <w:rsid w:val="5AC91049"/>
    <w:rsid w:val="5ACF40CD"/>
    <w:rsid w:val="5AD25E29"/>
    <w:rsid w:val="5AD977F4"/>
    <w:rsid w:val="5ADB273E"/>
    <w:rsid w:val="5AE14981"/>
    <w:rsid w:val="5AE31628"/>
    <w:rsid w:val="5AFC7A28"/>
    <w:rsid w:val="5AFD3B96"/>
    <w:rsid w:val="5B097B76"/>
    <w:rsid w:val="5B0C640C"/>
    <w:rsid w:val="5B103430"/>
    <w:rsid w:val="5B1F3A0B"/>
    <w:rsid w:val="5B2D305D"/>
    <w:rsid w:val="5B344015"/>
    <w:rsid w:val="5B350A21"/>
    <w:rsid w:val="5B3F3F40"/>
    <w:rsid w:val="5B443E9C"/>
    <w:rsid w:val="5B561967"/>
    <w:rsid w:val="5B5D3E2F"/>
    <w:rsid w:val="5B620B4F"/>
    <w:rsid w:val="5B637846"/>
    <w:rsid w:val="5B637AE8"/>
    <w:rsid w:val="5B707739"/>
    <w:rsid w:val="5B74479A"/>
    <w:rsid w:val="5B7468B8"/>
    <w:rsid w:val="5B7C7628"/>
    <w:rsid w:val="5B7E0ACC"/>
    <w:rsid w:val="5B8526BA"/>
    <w:rsid w:val="5B8A6045"/>
    <w:rsid w:val="5B956906"/>
    <w:rsid w:val="5B970EBD"/>
    <w:rsid w:val="5BA0525E"/>
    <w:rsid w:val="5BA501A1"/>
    <w:rsid w:val="5BB55204"/>
    <w:rsid w:val="5BB62C85"/>
    <w:rsid w:val="5BC47A1C"/>
    <w:rsid w:val="5BCD5911"/>
    <w:rsid w:val="5BCE4EA4"/>
    <w:rsid w:val="5BD02AFD"/>
    <w:rsid w:val="5BD209C4"/>
    <w:rsid w:val="5BD637EC"/>
    <w:rsid w:val="5BDE0F42"/>
    <w:rsid w:val="5BDE5A43"/>
    <w:rsid w:val="5BE0323A"/>
    <w:rsid w:val="5BE2598D"/>
    <w:rsid w:val="5BE52C87"/>
    <w:rsid w:val="5BFB1413"/>
    <w:rsid w:val="5BFF0F46"/>
    <w:rsid w:val="5C016123"/>
    <w:rsid w:val="5C053AE8"/>
    <w:rsid w:val="5C053DF4"/>
    <w:rsid w:val="5C075ED1"/>
    <w:rsid w:val="5C0B7733"/>
    <w:rsid w:val="5C13747D"/>
    <w:rsid w:val="5C1B7F5F"/>
    <w:rsid w:val="5C2334AF"/>
    <w:rsid w:val="5C29076D"/>
    <w:rsid w:val="5C2B06AD"/>
    <w:rsid w:val="5C34166A"/>
    <w:rsid w:val="5C3731F4"/>
    <w:rsid w:val="5C474772"/>
    <w:rsid w:val="5C4A36B7"/>
    <w:rsid w:val="5C4E44D4"/>
    <w:rsid w:val="5C5552A6"/>
    <w:rsid w:val="5C570EE3"/>
    <w:rsid w:val="5C663AA7"/>
    <w:rsid w:val="5C774D7E"/>
    <w:rsid w:val="5C796560"/>
    <w:rsid w:val="5C7B79F9"/>
    <w:rsid w:val="5C882FDD"/>
    <w:rsid w:val="5C96026B"/>
    <w:rsid w:val="5C975F8A"/>
    <w:rsid w:val="5C9E082A"/>
    <w:rsid w:val="5CC15BCC"/>
    <w:rsid w:val="5CD51EB4"/>
    <w:rsid w:val="5CD7479C"/>
    <w:rsid w:val="5CDF6871"/>
    <w:rsid w:val="5CE536CF"/>
    <w:rsid w:val="5CE568F8"/>
    <w:rsid w:val="5CE80A78"/>
    <w:rsid w:val="5CEA5509"/>
    <w:rsid w:val="5CF2493D"/>
    <w:rsid w:val="5CF33064"/>
    <w:rsid w:val="5CF70A79"/>
    <w:rsid w:val="5CFC05B7"/>
    <w:rsid w:val="5D0576C4"/>
    <w:rsid w:val="5D096497"/>
    <w:rsid w:val="5D125A63"/>
    <w:rsid w:val="5D1B1849"/>
    <w:rsid w:val="5D21139B"/>
    <w:rsid w:val="5D230368"/>
    <w:rsid w:val="5D2466DF"/>
    <w:rsid w:val="5D255730"/>
    <w:rsid w:val="5D3A0883"/>
    <w:rsid w:val="5D4E1B6B"/>
    <w:rsid w:val="5D4E1BA7"/>
    <w:rsid w:val="5D5667E0"/>
    <w:rsid w:val="5D580881"/>
    <w:rsid w:val="5D6261CB"/>
    <w:rsid w:val="5D6F7A58"/>
    <w:rsid w:val="5D712F5B"/>
    <w:rsid w:val="5D7B5CC1"/>
    <w:rsid w:val="5D7D697D"/>
    <w:rsid w:val="5D8D0925"/>
    <w:rsid w:val="5D99207C"/>
    <w:rsid w:val="5DA13534"/>
    <w:rsid w:val="5DA80011"/>
    <w:rsid w:val="5DAA158A"/>
    <w:rsid w:val="5DBB5ECC"/>
    <w:rsid w:val="5DC847C4"/>
    <w:rsid w:val="5DC87506"/>
    <w:rsid w:val="5DCB56EC"/>
    <w:rsid w:val="5DCC2370"/>
    <w:rsid w:val="5DCF0D76"/>
    <w:rsid w:val="5DD4601C"/>
    <w:rsid w:val="5DD632E4"/>
    <w:rsid w:val="5DD71A06"/>
    <w:rsid w:val="5DD864D3"/>
    <w:rsid w:val="5DE448D2"/>
    <w:rsid w:val="5DE56B02"/>
    <w:rsid w:val="5DF441FF"/>
    <w:rsid w:val="5DF849E9"/>
    <w:rsid w:val="5DFE4F1B"/>
    <w:rsid w:val="5E03539E"/>
    <w:rsid w:val="5E1463C6"/>
    <w:rsid w:val="5E2511CA"/>
    <w:rsid w:val="5E285722"/>
    <w:rsid w:val="5E350BA6"/>
    <w:rsid w:val="5E3B4D31"/>
    <w:rsid w:val="5E3E65D1"/>
    <w:rsid w:val="5E431936"/>
    <w:rsid w:val="5E4B7A1D"/>
    <w:rsid w:val="5E4E2768"/>
    <w:rsid w:val="5E50050F"/>
    <w:rsid w:val="5E5A4AF4"/>
    <w:rsid w:val="5E5D04EF"/>
    <w:rsid w:val="5E62411B"/>
    <w:rsid w:val="5E677FF0"/>
    <w:rsid w:val="5E68591D"/>
    <w:rsid w:val="5E6E3128"/>
    <w:rsid w:val="5E731D18"/>
    <w:rsid w:val="5E742249"/>
    <w:rsid w:val="5E803272"/>
    <w:rsid w:val="5E8D74B9"/>
    <w:rsid w:val="5E9268B6"/>
    <w:rsid w:val="5E985041"/>
    <w:rsid w:val="5E9E2816"/>
    <w:rsid w:val="5E9E597C"/>
    <w:rsid w:val="5EA25DA7"/>
    <w:rsid w:val="5EA470C3"/>
    <w:rsid w:val="5EA97C8F"/>
    <w:rsid w:val="5EAB669E"/>
    <w:rsid w:val="5EAC7CB5"/>
    <w:rsid w:val="5EAC7DF8"/>
    <w:rsid w:val="5EB01496"/>
    <w:rsid w:val="5EB03BA5"/>
    <w:rsid w:val="5EBB1532"/>
    <w:rsid w:val="5EDA252D"/>
    <w:rsid w:val="5EDF04E2"/>
    <w:rsid w:val="5EE4090C"/>
    <w:rsid w:val="5EE437F5"/>
    <w:rsid w:val="5EF0645B"/>
    <w:rsid w:val="5EFD60B5"/>
    <w:rsid w:val="5F04137C"/>
    <w:rsid w:val="5F05700F"/>
    <w:rsid w:val="5F0936DE"/>
    <w:rsid w:val="5F1263B5"/>
    <w:rsid w:val="5F171517"/>
    <w:rsid w:val="5F1A4848"/>
    <w:rsid w:val="5F210125"/>
    <w:rsid w:val="5F236A77"/>
    <w:rsid w:val="5F2471FB"/>
    <w:rsid w:val="5F251BDB"/>
    <w:rsid w:val="5F2E2A8A"/>
    <w:rsid w:val="5F3C79F2"/>
    <w:rsid w:val="5F414056"/>
    <w:rsid w:val="5F446614"/>
    <w:rsid w:val="5F454229"/>
    <w:rsid w:val="5F4A0D9D"/>
    <w:rsid w:val="5F4B21FD"/>
    <w:rsid w:val="5F5168E0"/>
    <w:rsid w:val="5F5610E6"/>
    <w:rsid w:val="5F62295E"/>
    <w:rsid w:val="5F650E1A"/>
    <w:rsid w:val="5F726743"/>
    <w:rsid w:val="5F7900E7"/>
    <w:rsid w:val="5F790CE9"/>
    <w:rsid w:val="5F7D16C2"/>
    <w:rsid w:val="5F892553"/>
    <w:rsid w:val="5F946059"/>
    <w:rsid w:val="5F9D7E5B"/>
    <w:rsid w:val="5FA04A6A"/>
    <w:rsid w:val="5FAB77AE"/>
    <w:rsid w:val="5FAC1FAE"/>
    <w:rsid w:val="5FAE6620"/>
    <w:rsid w:val="5FB22801"/>
    <w:rsid w:val="5FB301BB"/>
    <w:rsid w:val="5FB7638A"/>
    <w:rsid w:val="5FBF00D5"/>
    <w:rsid w:val="5FD04C2C"/>
    <w:rsid w:val="5FE264F3"/>
    <w:rsid w:val="5FE83B04"/>
    <w:rsid w:val="5FF07F50"/>
    <w:rsid w:val="5FF32A3B"/>
    <w:rsid w:val="5FF65989"/>
    <w:rsid w:val="5FF9437A"/>
    <w:rsid w:val="5FFA3939"/>
    <w:rsid w:val="60014301"/>
    <w:rsid w:val="6008194E"/>
    <w:rsid w:val="600A6271"/>
    <w:rsid w:val="601410A2"/>
    <w:rsid w:val="601451FE"/>
    <w:rsid w:val="60212333"/>
    <w:rsid w:val="602E29D0"/>
    <w:rsid w:val="6030786B"/>
    <w:rsid w:val="60357E4D"/>
    <w:rsid w:val="60384292"/>
    <w:rsid w:val="603E0401"/>
    <w:rsid w:val="603E7BF6"/>
    <w:rsid w:val="6046706E"/>
    <w:rsid w:val="60492B3E"/>
    <w:rsid w:val="60515969"/>
    <w:rsid w:val="60565E64"/>
    <w:rsid w:val="6059114D"/>
    <w:rsid w:val="60647840"/>
    <w:rsid w:val="6089047C"/>
    <w:rsid w:val="608B175B"/>
    <w:rsid w:val="608C0E83"/>
    <w:rsid w:val="608D4CE3"/>
    <w:rsid w:val="60935BFC"/>
    <w:rsid w:val="609D0CE0"/>
    <w:rsid w:val="60A859A2"/>
    <w:rsid w:val="60AB29AA"/>
    <w:rsid w:val="60AC024B"/>
    <w:rsid w:val="60AC0F1D"/>
    <w:rsid w:val="60AC67BD"/>
    <w:rsid w:val="60AD3F3F"/>
    <w:rsid w:val="60B146B2"/>
    <w:rsid w:val="60B15AD6"/>
    <w:rsid w:val="60C06489"/>
    <w:rsid w:val="60CE1423"/>
    <w:rsid w:val="60CE2A0E"/>
    <w:rsid w:val="60DB1304"/>
    <w:rsid w:val="60DC7456"/>
    <w:rsid w:val="60E34F45"/>
    <w:rsid w:val="60FD34E1"/>
    <w:rsid w:val="61032E37"/>
    <w:rsid w:val="6108420B"/>
    <w:rsid w:val="610C37AC"/>
    <w:rsid w:val="610E4A4B"/>
    <w:rsid w:val="61145365"/>
    <w:rsid w:val="61165FAA"/>
    <w:rsid w:val="611B2150"/>
    <w:rsid w:val="61203536"/>
    <w:rsid w:val="61204933"/>
    <w:rsid w:val="612354B4"/>
    <w:rsid w:val="612414CB"/>
    <w:rsid w:val="6131159B"/>
    <w:rsid w:val="61351007"/>
    <w:rsid w:val="61351A56"/>
    <w:rsid w:val="61356E89"/>
    <w:rsid w:val="6138200C"/>
    <w:rsid w:val="613F62A8"/>
    <w:rsid w:val="61415F87"/>
    <w:rsid w:val="614822A7"/>
    <w:rsid w:val="614963EE"/>
    <w:rsid w:val="614A2FC6"/>
    <w:rsid w:val="614E6C03"/>
    <w:rsid w:val="615755BD"/>
    <w:rsid w:val="615A223E"/>
    <w:rsid w:val="615B47A6"/>
    <w:rsid w:val="615F3517"/>
    <w:rsid w:val="616435A6"/>
    <w:rsid w:val="61690591"/>
    <w:rsid w:val="61763176"/>
    <w:rsid w:val="61892E8B"/>
    <w:rsid w:val="618A4888"/>
    <w:rsid w:val="618D5576"/>
    <w:rsid w:val="619940E6"/>
    <w:rsid w:val="619D5FBE"/>
    <w:rsid w:val="619E19B9"/>
    <w:rsid w:val="61A0649D"/>
    <w:rsid w:val="61A6014E"/>
    <w:rsid w:val="61A7486D"/>
    <w:rsid w:val="61AF035B"/>
    <w:rsid w:val="61B17BD0"/>
    <w:rsid w:val="61C51E7E"/>
    <w:rsid w:val="61D25DA8"/>
    <w:rsid w:val="61D63921"/>
    <w:rsid w:val="61DA5C32"/>
    <w:rsid w:val="61DB724C"/>
    <w:rsid w:val="61DC33FE"/>
    <w:rsid w:val="61E2226C"/>
    <w:rsid w:val="61E643A1"/>
    <w:rsid w:val="61E66A27"/>
    <w:rsid w:val="61E66CAD"/>
    <w:rsid w:val="61F276D6"/>
    <w:rsid w:val="61F439C5"/>
    <w:rsid w:val="61F443E9"/>
    <w:rsid w:val="62036E74"/>
    <w:rsid w:val="62203C19"/>
    <w:rsid w:val="62213533"/>
    <w:rsid w:val="62244E9F"/>
    <w:rsid w:val="62270D05"/>
    <w:rsid w:val="622C111C"/>
    <w:rsid w:val="623025A4"/>
    <w:rsid w:val="623034A9"/>
    <w:rsid w:val="62305F95"/>
    <w:rsid w:val="62397832"/>
    <w:rsid w:val="62461BF2"/>
    <w:rsid w:val="62595123"/>
    <w:rsid w:val="62607426"/>
    <w:rsid w:val="626347A6"/>
    <w:rsid w:val="626B1246"/>
    <w:rsid w:val="6278379F"/>
    <w:rsid w:val="62853319"/>
    <w:rsid w:val="62857AB0"/>
    <w:rsid w:val="62867444"/>
    <w:rsid w:val="628A41A8"/>
    <w:rsid w:val="628C4E46"/>
    <w:rsid w:val="629D7EE8"/>
    <w:rsid w:val="62A37D0F"/>
    <w:rsid w:val="62A84A93"/>
    <w:rsid w:val="62B644A0"/>
    <w:rsid w:val="62BC1814"/>
    <w:rsid w:val="62BD1648"/>
    <w:rsid w:val="62C06610"/>
    <w:rsid w:val="62C60777"/>
    <w:rsid w:val="62C73A65"/>
    <w:rsid w:val="62CB3A67"/>
    <w:rsid w:val="62D50998"/>
    <w:rsid w:val="62D55B49"/>
    <w:rsid w:val="62DC6653"/>
    <w:rsid w:val="62E7507D"/>
    <w:rsid w:val="62F00C3E"/>
    <w:rsid w:val="62F61E46"/>
    <w:rsid w:val="62F67597"/>
    <w:rsid w:val="630C34D0"/>
    <w:rsid w:val="631E48B7"/>
    <w:rsid w:val="6322080B"/>
    <w:rsid w:val="63221947"/>
    <w:rsid w:val="63255FA6"/>
    <w:rsid w:val="63453350"/>
    <w:rsid w:val="63482F32"/>
    <w:rsid w:val="635F6BBD"/>
    <w:rsid w:val="636B5302"/>
    <w:rsid w:val="6371531A"/>
    <w:rsid w:val="637222A0"/>
    <w:rsid w:val="637662D1"/>
    <w:rsid w:val="63781C7D"/>
    <w:rsid w:val="63782078"/>
    <w:rsid w:val="637F14AD"/>
    <w:rsid w:val="638732C2"/>
    <w:rsid w:val="638B7511"/>
    <w:rsid w:val="638F7AFC"/>
    <w:rsid w:val="639215D8"/>
    <w:rsid w:val="63980872"/>
    <w:rsid w:val="639B4C77"/>
    <w:rsid w:val="63A138FB"/>
    <w:rsid w:val="63A36BE5"/>
    <w:rsid w:val="63A70E8C"/>
    <w:rsid w:val="63AC4359"/>
    <w:rsid w:val="63C04B8A"/>
    <w:rsid w:val="63CD32CA"/>
    <w:rsid w:val="63D25E78"/>
    <w:rsid w:val="63D347C9"/>
    <w:rsid w:val="63D42229"/>
    <w:rsid w:val="63D8474D"/>
    <w:rsid w:val="63D92960"/>
    <w:rsid w:val="63DB746A"/>
    <w:rsid w:val="63DF4869"/>
    <w:rsid w:val="63E257EE"/>
    <w:rsid w:val="63E5033D"/>
    <w:rsid w:val="63E60346"/>
    <w:rsid w:val="63EC0397"/>
    <w:rsid w:val="63EE162B"/>
    <w:rsid w:val="63F75B8A"/>
    <w:rsid w:val="63FC7559"/>
    <w:rsid w:val="64003199"/>
    <w:rsid w:val="640310C7"/>
    <w:rsid w:val="64155C8D"/>
    <w:rsid w:val="64177710"/>
    <w:rsid w:val="641B0760"/>
    <w:rsid w:val="641C2E9C"/>
    <w:rsid w:val="641E1DE4"/>
    <w:rsid w:val="641E3DD8"/>
    <w:rsid w:val="64203CB4"/>
    <w:rsid w:val="64222857"/>
    <w:rsid w:val="643320A7"/>
    <w:rsid w:val="64335EB1"/>
    <w:rsid w:val="64383A64"/>
    <w:rsid w:val="64422927"/>
    <w:rsid w:val="64433CD0"/>
    <w:rsid w:val="64455B95"/>
    <w:rsid w:val="64495F72"/>
    <w:rsid w:val="644B25BC"/>
    <w:rsid w:val="644F1547"/>
    <w:rsid w:val="64546A26"/>
    <w:rsid w:val="645A76FE"/>
    <w:rsid w:val="645E2996"/>
    <w:rsid w:val="645F063B"/>
    <w:rsid w:val="646855DB"/>
    <w:rsid w:val="64746F5B"/>
    <w:rsid w:val="647529CC"/>
    <w:rsid w:val="64786F18"/>
    <w:rsid w:val="647F6D16"/>
    <w:rsid w:val="648A75F8"/>
    <w:rsid w:val="648D1A9F"/>
    <w:rsid w:val="6498217B"/>
    <w:rsid w:val="64987FF4"/>
    <w:rsid w:val="649C5B52"/>
    <w:rsid w:val="649F57CB"/>
    <w:rsid w:val="64A94344"/>
    <w:rsid w:val="64C12734"/>
    <w:rsid w:val="64C84BFC"/>
    <w:rsid w:val="64D0513C"/>
    <w:rsid w:val="64D61D8B"/>
    <w:rsid w:val="64DD517A"/>
    <w:rsid w:val="64EB1866"/>
    <w:rsid w:val="64EB2E2F"/>
    <w:rsid w:val="64F64C70"/>
    <w:rsid w:val="64F702F2"/>
    <w:rsid w:val="65046BCA"/>
    <w:rsid w:val="650B25A9"/>
    <w:rsid w:val="650E6AFA"/>
    <w:rsid w:val="651424EE"/>
    <w:rsid w:val="651548E6"/>
    <w:rsid w:val="651E67EB"/>
    <w:rsid w:val="65257BC1"/>
    <w:rsid w:val="65287A29"/>
    <w:rsid w:val="652B17D1"/>
    <w:rsid w:val="65352E51"/>
    <w:rsid w:val="65422E2C"/>
    <w:rsid w:val="654839FF"/>
    <w:rsid w:val="65490238"/>
    <w:rsid w:val="654A1941"/>
    <w:rsid w:val="65537EF9"/>
    <w:rsid w:val="65580853"/>
    <w:rsid w:val="65593C2E"/>
    <w:rsid w:val="655E1155"/>
    <w:rsid w:val="655F4773"/>
    <w:rsid w:val="65636455"/>
    <w:rsid w:val="6571334F"/>
    <w:rsid w:val="6572507F"/>
    <w:rsid w:val="658554FB"/>
    <w:rsid w:val="658835A0"/>
    <w:rsid w:val="658E08AA"/>
    <w:rsid w:val="658E43F4"/>
    <w:rsid w:val="6590252A"/>
    <w:rsid w:val="65904230"/>
    <w:rsid w:val="65A240BE"/>
    <w:rsid w:val="65A273A9"/>
    <w:rsid w:val="65A31666"/>
    <w:rsid w:val="65A823AD"/>
    <w:rsid w:val="65AE5114"/>
    <w:rsid w:val="65B61DD9"/>
    <w:rsid w:val="65BB4EEA"/>
    <w:rsid w:val="65BB5075"/>
    <w:rsid w:val="65C42F33"/>
    <w:rsid w:val="65C76D0B"/>
    <w:rsid w:val="65C8585C"/>
    <w:rsid w:val="65CB5A52"/>
    <w:rsid w:val="65D23BC4"/>
    <w:rsid w:val="65D969F1"/>
    <w:rsid w:val="65DA3181"/>
    <w:rsid w:val="65DF7832"/>
    <w:rsid w:val="65EB6DDE"/>
    <w:rsid w:val="65F01CCB"/>
    <w:rsid w:val="66030655"/>
    <w:rsid w:val="6619507C"/>
    <w:rsid w:val="661A524A"/>
    <w:rsid w:val="66215514"/>
    <w:rsid w:val="66222BC0"/>
    <w:rsid w:val="662861DC"/>
    <w:rsid w:val="66286B79"/>
    <w:rsid w:val="662D476F"/>
    <w:rsid w:val="66306F43"/>
    <w:rsid w:val="66326E97"/>
    <w:rsid w:val="66363F02"/>
    <w:rsid w:val="663B5A60"/>
    <w:rsid w:val="663F4723"/>
    <w:rsid w:val="664615E7"/>
    <w:rsid w:val="6648588B"/>
    <w:rsid w:val="664B780D"/>
    <w:rsid w:val="665242EE"/>
    <w:rsid w:val="665265F4"/>
    <w:rsid w:val="66554DE6"/>
    <w:rsid w:val="66604FC9"/>
    <w:rsid w:val="6666302E"/>
    <w:rsid w:val="666F0E5A"/>
    <w:rsid w:val="667322A4"/>
    <w:rsid w:val="668639CD"/>
    <w:rsid w:val="66865A41"/>
    <w:rsid w:val="668F06DD"/>
    <w:rsid w:val="66943E18"/>
    <w:rsid w:val="66966C28"/>
    <w:rsid w:val="6699652A"/>
    <w:rsid w:val="66A016EB"/>
    <w:rsid w:val="66A93110"/>
    <w:rsid w:val="66AC664F"/>
    <w:rsid w:val="66AF2B2C"/>
    <w:rsid w:val="66B654CB"/>
    <w:rsid w:val="66B72A8D"/>
    <w:rsid w:val="66BA606C"/>
    <w:rsid w:val="66BB03FB"/>
    <w:rsid w:val="66D14104"/>
    <w:rsid w:val="66D43C9F"/>
    <w:rsid w:val="66DC3EF7"/>
    <w:rsid w:val="66DE561C"/>
    <w:rsid w:val="66F0190D"/>
    <w:rsid w:val="67064E16"/>
    <w:rsid w:val="67120B62"/>
    <w:rsid w:val="672833FF"/>
    <w:rsid w:val="673100D9"/>
    <w:rsid w:val="6731395C"/>
    <w:rsid w:val="67320E20"/>
    <w:rsid w:val="67421678"/>
    <w:rsid w:val="67447CAA"/>
    <w:rsid w:val="675448AC"/>
    <w:rsid w:val="675712BD"/>
    <w:rsid w:val="67603184"/>
    <w:rsid w:val="67615909"/>
    <w:rsid w:val="676569B0"/>
    <w:rsid w:val="676818B7"/>
    <w:rsid w:val="67693877"/>
    <w:rsid w:val="676B6D11"/>
    <w:rsid w:val="676E53AF"/>
    <w:rsid w:val="6772565E"/>
    <w:rsid w:val="677D4E65"/>
    <w:rsid w:val="678442B5"/>
    <w:rsid w:val="678A1A6C"/>
    <w:rsid w:val="678C78AF"/>
    <w:rsid w:val="679C72E6"/>
    <w:rsid w:val="679D7D9D"/>
    <w:rsid w:val="679E24FB"/>
    <w:rsid w:val="67A16316"/>
    <w:rsid w:val="67B52945"/>
    <w:rsid w:val="67B748D6"/>
    <w:rsid w:val="67B84A87"/>
    <w:rsid w:val="67B84CB4"/>
    <w:rsid w:val="67BB5D7B"/>
    <w:rsid w:val="67C03310"/>
    <w:rsid w:val="67C25449"/>
    <w:rsid w:val="67C36B0F"/>
    <w:rsid w:val="67C72B96"/>
    <w:rsid w:val="67D5396B"/>
    <w:rsid w:val="67DD018E"/>
    <w:rsid w:val="67DE5B6F"/>
    <w:rsid w:val="67E24A58"/>
    <w:rsid w:val="67E37277"/>
    <w:rsid w:val="67E84BC2"/>
    <w:rsid w:val="67E967D4"/>
    <w:rsid w:val="67EA1DE2"/>
    <w:rsid w:val="67EE7234"/>
    <w:rsid w:val="67F43487"/>
    <w:rsid w:val="67F51F5D"/>
    <w:rsid w:val="68022961"/>
    <w:rsid w:val="680E0310"/>
    <w:rsid w:val="68133EB3"/>
    <w:rsid w:val="681C0F9C"/>
    <w:rsid w:val="68280A59"/>
    <w:rsid w:val="683747EF"/>
    <w:rsid w:val="68397A86"/>
    <w:rsid w:val="685448E5"/>
    <w:rsid w:val="68567ADB"/>
    <w:rsid w:val="685A52F7"/>
    <w:rsid w:val="6860760C"/>
    <w:rsid w:val="686301D2"/>
    <w:rsid w:val="68641CAF"/>
    <w:rsid w:val="686F32ED"/>
    <w:rsid w:val="68736AA6"/>
    <w:rsid w:val="68763CFB"/>
    <w:rsid w:val="68775B46"/>
    <w:rsid w:val="687B4BF8"/>
    <w:rsid w:val="687C28C4"/>
    <w:rsid w:val="68817BAC"/>
    <w:rsid w:val="688C2914"/>
    <w:rsid w:val="68940B0A"/>
    <w:rsid w:val="68A65874"/>
    <w:rsid w:val="68AB1911"/>
    <w:rsid w:val="68AC7864"/>
    <w:rsid w:val="68BD0258"/>
    <w:rsid w:val="68BD141F"/>
    <w:rsid w:val="68C2312F"/>
    <w:rsid w:val="68CC74D0"/>
    <w:rsid w:val="68D40619"/>
    <w:rsid w:val="68D53366"/>
    <w:rsid w:val="68DA0494"/>
    <w:rsid w:val="68DD058C"/>
    <w:rsid w:val="68E84B74"/>
    <w:rsid w:val="68EC1986"/>
    <w:rsid w:val="68F97892"/>
    <w:rsid w:val="690224EE"/>
    <w:rsid w:val="690300E6"/>
    <w:rsid w:val="69080173"/>
    <w:rsid w:val="691318F3"/>
    <w:rsid w:val="691F004A"/>
    <w:rsid w:val="692563EE"/>
    <w:rsid w:val="69293AC0"/>
    <w:rsid w:val="692D6BB4"/>
    <w:rsid w:val="692D7F38"/>
    <w:rsid w:val="693D18C5"/>
    <w:rsid w:val="69415132"/>
    <w:rsid w:val="69456602"/>
    <w:rsid w:val="69471F8B"/>
    <w:rsid w:val="69542A7A"/>
    <w:rsid w:val="69656FD3"/>
    <w:rsid w:val="6965727E"/>
    <w:rsid w:val="696812DA"/>
    <w:rsid w:val="69681D06"/>
    <w:rsid w:val="69713E8B"/>
    <w:rsid w:val="69782B53"/>
    <w:rsid w:val="69785369"/>
    <w:rsid w:val="6987746E"/>
    <w:rsid w:val="69B059E4"/>
    <w:rsid w:val="69BF2D66"/>
    <w:rsid w:val="69C22990"/>
    <w:rsid w:val="69C62E9A"/>
    <w:rsid w:val="69C75589"/>
    <w:rsid w:val="69C941AE"/>
    <w:rsid w:val="69D4612E"/>
    <w:rsid w:val="69D842E7"/>
    <w:rsid w:val="69D9569F"/>
    <w:rsid w:val="69F076EC"/>
    <w:rsid w:val="69F81A1E"/>
    <w:rsid w:val="69FC71B3"/>
    <w:rsid w:val="6A046C7D"/>
    <w:rsid w:val="6A0C4C59"/>
    <w:rsid w:val="6A0C7811"/>
    <w:rsid w:val="6A0E0287"/>
    <w:rsid w:val="6A0E04B7"/>
    <w:rsid w:val="6A0E500E"/>
    <w:rsid w:val="6A0E77F1"/>
    <w:rsid w:val="6A19339F"/>
    <w:rsid w:val="6A3001E9"/>
    <w:rsid w:val="6A342EDC"/>
    <w:rsid w:val="6A381CBF"/>
    <w:rsid w:val="6A55161C"/>
    <w:rsid w:val="6A56167F"/>
    <w:rsid w:val="6A5C5D51"/>
    <w:rsid w:val="6A65568E"/>
    <w:rsid w:val="6A6E67DD"/>
    <w:rsid w:val="6A8213EE"/>
    <w:rsid w:val="6A8A2C63"/>
    <w:rsid w:val="6A8C62B2"/>
    <w:rsid w:val="6A9553FE"/>
    <w:rsid w:val="6A96579C"/>
    <w:rsid w:val="6A9D278F"/>
    <w:rsid w:val="6AAB290E"/>
    <w:rsid w:val="6AAD773D"/>
    <w:rsid w:val="6AB8631A"/>
    <w:rsid w:val="6AC30E38"/>
    <w:rsid w:val="6AC328A8"/>
    <w:rsid w:val="6ACA383C"/>
    <w:rsid w:val="6AD37F7B"/>
    <w:rsid w:val="6AD95181"/>
    <w:rsid w:val="6ADB66AC"/>
    <w:rsid w:val="6ADD0889"/>
    <w:rsid w:val="6ADD74FD"/>
    <w:rsid w:val="6AE46D58"/>
    <w:rsid w:val="6AF45472"/>
    <w:rsid w:val="6AFF671E"/>
    <w:rsid w:val="6B045E3C"/>
    <w:rsid w:val="6B0E5F7A"/>
    <w:rsid w:val="6B1362D2"/>
    <w:rsid w:val="6B1A4F36"/>
    <w:rsid w:val="6B1E60FF"/>
    <w:rsid w:val="6B204A1A"/>
    <w:rsid w:val="6B213BD1"/>
    <w:rsid w:val="6B254070"/>
    <w:rsid w:val="6B2B523C"/>
    <w:rsid w:val="6B3335B1"/>
    <w:rsid w:val="6B3816B9"/>
    <w:rsid w:val="6B387F73"/>
    <w:rsid w:val="6B3B3534"/>
    <w:rsid w:val="6B457FC6"/>
    <w:rsid w:val="6B4D1FAA"/>
    <w:rsid w:val="6B5117E5"/>
    <w:rsid w:val="6B56687A"/>
    <w:rsid w:val="6B570F9E"/>
    <w:rsid w:val="6B647ABE"/>
    <w:rsid w:val="6B702C80"/>
    <w:rsid w:val="6B704D44"/>
    <w:rsid w:val="6B746FC5"/>
    <w:rsid w:val="6B7A4A17"/>
    <w:rsid w:val="6B7F1BF6"/>
    <w:rsid w:val="6B8A7D7E"/>
    <w:rsid w:val="6B9512FD"/>
    <w:rsid w:val="6B974C7E"/>
    <w:rsid w:val="6BA06E6D"/>
    <w:rsid w:val="6BA451E4"/>
    <w:rsid w:val="6BA7070C"/>
    <w:rsid w:val="6BA77A4D"/>
    <w:rsid w:val="6BB554FE"/>
    <w:rsid w:val="6BB56A5C"/>
    <w:rsid w:val="6BB87BB7"/>
    <w:rsid w:val="6BC12EDC"/>
    <w:rsid w:val="6BD711FB"/>
    <w:rsid w:val="6BE255D8"/>
    <w:rsid w:val="6BE76A97"/>
    <w:rsid w:val="6BF056A3"/>
    <w:rsid w:val="6BF14A5B"/>
    <w:rsid w:val="6BF43FAF"/>
    <w:rsid w:val="6BFB78C8"/>
    <w:rsid w:val="6C042F54"/>
    <w:rsid w:val="6C110991"/>
    <w:rsid w:val="6C1363EA"/>
    <w:rsid w:val="6C14445E"/>
    <w:rsid w:val="6C1F175D"/>
    <w:rsid w:val="6C386C1D"/>
    <w:rsid w:val="6C3E480C"/>
    <w:rsid w:val="6C4471AC"/>
    <w:rsid w:val="6C4540D6"/>
    <w:rsid w:val="6C4A348A"/>
    <w:rsid w:val="6C4A4478"/>
    <w:rsid w:val="6C4E6C53"/>
    <w:rsid w:val="6C5002D5"/>
    <w:rsid w:val="6C523F43"/>
    <w:rsid w:val="6C527AA4"/>
    <w:rsid w:val="6C64734B"/>
    <w:rsid w:val="6C777224"/>
    <w:rsid w:val="6C793300"/>
    <w:rsid w:val="6C7C0FBC"/>
    <w:rsid w:val="6C83021C"/>
    <w:rsid w:val="6C83219C"/>
    <w:rsid w:val="6C833B41"/>
    <w:rsid w:val="6C97436A"/>
    <w:rsid w:val="6C9803A4"/>
    <w:rsid w:val="6C992D5E"/>
    <w:rsid w:val="6C9D70AF"/>
    <w:rsid w:val="6CA22C96"/>
    <w:rsid w:val="6CAF4A99"/>
    <w:rsid w:val="6CB13502"/>
    <w:rsid w:val="6CCD4BDE"/>
    <w:rsid w:val="6CD323B8"/>
    <w:rsid w:val="6CD7528E"/>
    <w:rsid w:val="6CD92182"/>
    <w:rsid w:val="6CDD7CF5"/>
    <w:rsid w:val="6CE71ED8"/>
    <w:rsid w:val="6CEC4A5C"/>
    <w:rsid w:val="6CED3141"/>
    <w:rsid w:val="6CF14516"/>
    <w:rsid w:val="6CF33107"/>
    <w:rsid w:val="6CF57B18"/>
    <w:rsid w:val="6CF80F83"/>
    <w:rsid w:val="6CFC0F53"/>
    <w:rsid w:val="6CFC3ED1"/>
    <w:rsid w:val="6D027121"/>
    <w:rsid w:val="6D0A2952"/>
    <w:rsid w:val="6D15191A"/>
    <w:rsid w:val="6D164F86"/>
    <w:rsid w:val="6D194788"/>
    <w:rsid w:val="6D1C66E8"/>
    <w:rsid w:val="6D243939"/>
    <w:rsid w:val="6D3125B4"/>
    <w:rsid w:val="6D351FB7"/>
    <w:rsid w:val="6D36200B"/>
    <w:rsid w:val="6D390ED7"/>
    <w:rsid w:val="6D3F53F1"/>
    <w:rsid w:val="6D4308D3"/>
    <w:rsid w:val="6D447778"/>
    <w:rsid w:val="6D4A5F2F"/>
    <w:rsid w:val="6D620170"/>
    <w:rsid w:val="6D631B70"/>
    <w:rsid w:val="6D641A37"/>
    <w:rsid w:val="6D6C2184"/>
    <w:rsid w:val="6D6D3796"/>
    <w:rsid w:val="6D777E6B"/>
    <w:rsid w:val="6D790A7C"/>
    <w:rsid w:val="6D7A3305"/>
    <w:rsid w:val="6D7C2147"/>
    <w:rsid w:val="6D800BC7"/>
    <w:rsid w:val="6D84645E"/>
    <w:rsid w:val="6D8F437E"/>
    <w:rsid w:val="6D9046F9"/>
    <w:rsid w:val="6D975919"/>
    <w:rsid w:val="6D990245"/>
    <w:rsid w:val="6D997573"/>
    <w:rsid w:val="6DA01AC5"/>
    <w:rsid w:val="6DA026C8"/>
    <w:rsid w:val="6DA5760F"/>
    <w:rsid w:val="6DAD31F1"/>
    <w:rsid w:val="6DB4207F"/>
    <w:rsid w:val="6DB46943"/>
    <w:rsid w:val="6DB56D43"/>
    <w:rsid w:val="6DB62F23"/>
    <w:rsid w:val="6DBB03FB"/>
    <w:rsid w:val="6DC62455"/>
    <w:rsid w:val="6DDF1B7F"/>
    <w:rsid w:val="6DE6435A"/>
    <w:rsid w:val="6DED42F9"/>
    <w:rsid w:val="6DEF2A6B"/>
    <w:rsid w:val="6DEF50B8"/>
    <w:rsid w:val="6DFB6D2D"/>
    <w:rsid w:val="6DFD0A13"/>
    <w:rsid w:val="6E017B27"/>
    <w:rsid w:val="6E017B4B"/>
    <w:rsid w:val="6E035FBA"/>
    <w:rsid w:val="6E0B1670"/>
    <w:rsid w:val="6E0E55A1"/>
    <w:rsid w:val="6E123F60"/>
    <w:rsid w:val="6E162FAB"/>
    <w:rsid w:val="6E1745F7"/>
    <w:rsid w:val="6E1E4715"/>
    <w:rsid w:val="6E297170"/>
    <w:rsid w:val="6E30398B"/>
    <w:rsid w:val="6E5231A4"/>
    <w:rsid w:val="6E5A40EE"/>
    <w:rsid w:val="6E671D27"/>
    <w:rsid w:val="6E6A23B4"/>
    <w:rsid w:val="6E6E6B53"/>
    <w:rsid w:val="6E7143EE"/>
    <w:rsid w:val="6E7A0736"/>
    <w:rsid w:val="6E7D48F4"/>
    <w:rsid w:val="6E8A64FD"/>
    <w:rsid w:val="6E9C16AF"/>
    <w:rsid w:val="6E9D390D"/>
    <w:rsid w:val="6EA428C6"/>
    <w:rsid w:val="6EA45755"/>
    <w:rsid w:val="6EA9047C"/>
    <w:rsid w:val="6EB76C30"/>
    <w:rsid w:val="6EB83E57"/>
    <w:rsid w:val="6EB97BB5"/>
    <w:rsid w:val="6ECE49D4"/>
    <w:rsid w:val="6ED20C37"/>
    <w:rsid w:val="6ED72B2B"/>
    <w:rsid w:val="6ED9046A"/>
    <w:rsid w:val="6ED94891"/>
    <w:rsid w:val="6EE10B05"/>
    <w:rsid w:val="6EE95641"/>
    <w:rsid w:val="6EEB713E"/>
    <w:rsid w:val="6EF115F9"/>
    <w:rsid w:val="6F0472BB"/>
    <w:rsid w:val="6F062965"/>
    <w:rsid w:val="6F0D763F"/>
    <w:rsid w:val="6F102BB9"/>
    <w:rsid w:val="6F17348E"/>
    <w:rsid w:val="6F1906FC"/>
    <w:rsid w:val="6F193453"/>
    <w:rsid w:val="6F1F73E6"/>
    <w:rsid w:val="6F2005FC"/>
    <w:rsid w:val="6F206808"/>
    <w:rsid w:val="6F257B89"/>
    <w:rsid w:val="6F2E0C37"/>
    <w:rsid w:val="6F341E31"/>
    <w:rsid w:val="6F4059F8"/>
    <w:rsid w:val="6F45301C"/>
    <w:rsid w:val="6F474B62"/>
    <w:rsid w:val="6F537CC8"/>
    <w:rsid w:val="6F54013B"/>
    <w:rsid w:val="6F580867"/>
    <w:rsid w:val="6F5B3B07"/>
    <w:rsid w:val="6F6000F3"/>
    <w:rsid w:val="6F67671B"/>
    <w:rsid w:val="6F7A7501"/>
    <w:rsid w:val="6F8247E2"/>
    <w:rsid w:val="6F877309"/>
    <w:rsid w:val="6F974134"/>
    <w:rsid w:val="6FAA7810"/>
    <w:rsid w:val="6FAB7D95"/>
    <w:rsid w:val="6FAD23B4"/>
    <w:rsid w:val="6FAD5E72"/>
    <w:rsid w:val="6FBD7D61"/>
    <w:rsid w:val="6FC403D9"/>
    <w:rsid w:val="6FC42EAB"/>
    <w:rsid w:val="6FD101F3"/>
    <w:rsid w:val="6FDC378F"/>
    <w:rsid w:val="6FDC5C4D"/>
    <w:rsid w:val="6FE052F7"/>
    <w:rsid w:val="6FE544D6"/>
    <w:rsid w:val="6FE54803"/>
    <w:rsid w:val="6FE54985"/>
    <w:rsid w:val="6FE60FC7"/>
    <w:rsid w:val="6FE856E7"/>
    <w:rsid w:val="6FEC7554"/>
    <w:rsid w:val="6FF1283A"/>
    <w:rsid w:val="6FF4469C"/>
    <w:rsid w:val="6FF70359"/>
    <w:rsid w:val="6FF77C50"/>
    <w:rsid w:val="6FF90C4A"/>
    <w:rsid w:val="6FFE0759"/>
    <w:rsid w:val="702B43B8"/>
    <w:rsid w:val="702C7A97"/>
    <w:rsid w:val="70322B47"/>
    <w:rsid w:val="70375E28"/>
    <w:rsid w:val="703C0D6E"/>
    <w:rsid w:val="703E484A"/>
    <w:rsid w:val="704D63D2"/>
    <w:rsid w:val="70563262"/>
    <w:rsid w:val="70576B41"/>
    <w:rsid w:val="705873A3"/>
    <w:rsid w:val="70594075"/>
    <w:rsid w:val="706630F4"/>
    <w:rsid w:val="70700FEC"/>
    <w:rsid w:val="709910D5"/>
    <w:rsid w:val="709B4AFB"/>
    <w:rsid w:val="70B36D70"/>
    <w:rsid w:val="70C15D8C"/>
    <w:rsid w:val="70D216D3"/>
    <w:rsid w:val="70D47D98"/>
    <w:rsid w:val="70DD1E39"/>
    <w:rsid w:val="70F31ADB"/>
    <w:rsid w:val="70F43FF3"/>
    <w:rsid w:val="70F659AE"/>
    <w:rsid w:val="70FD48EC"/>
    <w:rsid w:val="71010D74"/>
    <w:rsid w:val="710F7DD8"/>
    <w:rsid w:val="711F373C"/>
    <w:rsid w:val="71445D5C"/>
    <w:rsid w:val="71446711"/>
    <w:rsid w:val="714612DD"/>
    <w:rsid w:val="71534AAE"/>
    <w:rsid w:val="716232AB"/>
    <w:rsid w:val="716C54B9"/>
    <w:rsid w:val="717A6292"/>
    <w:rsid w:val="717C638C"/>
    <w:rsid w:val="718879FA"/>
    <w:rsid w:val="718A63AB"/>
    <w:rsid w:val="718E41FC"/>
    <w:rsid w:val="719B216D"/>
    <w:rsid w:val="71A2507A"/>
    <w:rsid w:val="71A40936"/>
    <w:rsid w:val="71A822FD"/>
    <w:rsid w:val="71B752EE"/>
    <w:rsid w:val="71C62B4D"/>
    <w:rsid w:val="71C66F16"/>
    <w:rsid w:val="71DB12A7"/>
    <w:rsid w:val="71DE0262"/>
    <w:rsid w:val="71E732A0"/>
    <w:rsid w:val="71F50022"/>
    <w:rsid w:val="71F8010D"/>
    <w:rsid w:val="71FB56B6"/>
    <w:rsid w:val="720135F1"/>
    <w:rsid w:val="72026398"/>
    <w:rsid w:val="72106EC5"/>
    <w:rsid w:val="72106F1F"/>
    <w:rsid w:val="7211200F"/>
    <w:rsid w:val="721D243E"/>
    <w:rsid w:val="721E0247"/>
    <w:rsid w:val="722D57C7"/>
    <w:rsid w:val="724062B5"/>
    <w:rsid w:val="724A0704"/>
    <w:rsid w:val="724F46F0"/>
    <w:rsid w:val="724F472E"/>
    <w:rsid w:val="7255143F"/>
    <w:rsid w:val="72630696"/>
    <w:rsid w:val="72633CE2"/>
    <w:rsid w:val="726436E6"/>
    <w:rsid w:val="72647EEE"/>
    <w:rsid w:val="72651885"/>
    <w:rsid w:val="7267715A"/>
    <w:rsid w:val="726870B8"/>
    <w:rsid w:val="72700C83"/>
    <w:rsid w:val="727870BC"/>
    <w:rsid w:val="727E1CA8"/>
    <w:rsid w:val="727E6483"/>
    <w:rsid w:val="728453D5"/>
    <w:rsid w:val="72891004"/>
    <w:rsid w:val="72916007"/>
    <w:rsid w:val="72935827"/>
    <w:rsid w:val="72966C68"/>
    <w:rsid w:val="729937A7"/>
    <w:rsid w:val="7299381B"/>
    <w:rsid w:val="729B6C7B"/>
    <w:rsid w:val="729B79DD"/>
    <w:rsid w:val="72A16707"/>
    <w:rsid w:val="72A27169"/>
    <w:rsid w:val="72A96531"/>
    <w:rsid w:val="72B11E4E"/>
    <w:rsid w:val="72B43E14"/>
    <w:rsid w:val="72B6163B"/>
    <w:rsid w:val="72BB1BA7"/>
    <w:rsid w:val="72C96161"/>
    <w:rsid w:val="72D051AC"/>
    <w:rsid w:val="72D05F60"/>
    <w:rsid w:val="72ED426C"/>
    <w:rsid w:val="72F70580"/>
    <w:rsid w:val="72F91A90"/>
    <w:rsid w:val="73000839"/>
    <w:rsid w:val="730019E8"/>
    <w:rsid w:val="730313CC"/>
    <w:rsid w:val="73035041"/>
    <w:rsid w:val="73073B1B"/>
    <w:rsid w:val="730A0309"/>
    <w:rsid w:val="730E33D2"/>
    <w:rsid w:val="731C314C"/>
    <w:rsid w:val="731C42B4"/>
    <w:rsid w:val="732927A3"/>
    <w:rsid w:val="73303587"/>
    <w:rsid w:val="73323045"/>
    <w:rsid w:val="73427202"/>
    <w:rsid w:val="734333B2"/>
    <w:rsid w:val="73473252"/>
    <w:rsid w:val="734B5436"/>
    <w:rsid w:val="735500D5"/>
    <w:rsid w:val="73637990"/>
    <w:rsid w:val="73663A61"/>
    <w:rsid w:val="73671066"/>
    <w:rsid w:val="736F68EF"/>
    <w:rsid w:val="73812244"/>
    <w:rsid w:val="73860085"/>
    <w:rsid w:val="73861C37"/>
    <w:rsid w:val="73877D6B"/>
    <w:rsid w:val="738F42BB"/>
    <w:rsid w:val="73906636"/>
    <w:rsid w:val="739D6139"/>
    <w:rsid w:val="739E743E"/>
    <w:rsid w:val="73A00AF1"/>
    <w:rsid w:val="73A875B8"/>
    <w:rsid w:val="73B02110"/>
    <w:rsid w:val="73B941A2"/>
    <w:rsid w:val="73CD7F8D"/>
    <w:rsid w:val="73CE0E30"/>
    <w:rsid w:val="73D52248"/>
    <w:rsid w:val="73E20C0B"/>
    <w:rsid w:val="73E20E2C"/>
    <w:rsid w:val="73E221A2"/>
    <w:rsid w:val="73EE737A"/>
    <w:rsid w:val="73F17151"/>
    <w:rsid w:val="73F95D4E"/>
    <w:rsid w:val="74000C22"/>
    <w:rsid w:val="74044161"/>
    <w:rsid w:val="740F05CE"/>
    <w:rsid w:val="74125E4D"/>
    <w:rsid w:val="74194164"/>
    <w:rsid w:val="741A35D6"/>
    <w:rsid w:val="741C0ACA"/>
    <w:rsid w:val="741C2B81"/>
    <w:rsid w:val="742D6B25"/>
    <w:rsid w:val="742D7EA2"/>
    <w:rsid w:val="7439183B"/>
    <w:rsid w:val="744446C4"/>
    <w:rsid w:val="744737F2"/>
    <w:rsid w:val="74524A6C"/>
    <w:rsid w:val="74550BC8"/>
    <w:rsid w:val="745D46B6"/>
    <w:rsid w:val="74775088"/>
    <w:rsid w:val="747E2170"/>
    <w:rsid w:val="748A33E9"/>
    <w:rsid w:val="749850D8"/>
    <w:rsid w:val="74994FF2"/>
    <w:rsid w:val="749F02E6"/>
    <w:rsid w:val="74A57E3E"/>
    <w:rsid w:val="74A63B0E"/>
    <w:rsid w:val="74A93ADB"/>
    <w:rsid w:val="74AB764B"/>
    <w:rsid w:val="74AE1E20"/>
    <w:rsid w:val="74AF159D"/>
    <w:rsid w:val="74B60738"/>
    <w:rsid w:val="74B94C23"/>
    <w:rsid w:val="74BA0C6B"/>
    <w:rsid w:val="74BB501E"/>
    <w:rsid w:val="74C03BE2"/>
    <w:rsid w:val="74C12CB2"/>
    <w:rsid w:val="74C1629C"/>
    <w:rsid w:val="74D80E1A"/>
    <w:rsid w:val="74DF2526"/>
    <w:rsid w:val="74E8080B"/>
    <w:rsid w:val="74EB4B62"/>
    <w:rsid w:val="74EE31EA"/>
    <w:rsid w:val="74EE39D4"/>
    <w:rsid w:val="74FA202A"/>
    <w:rsid w:val="74FA2880"/>
    <w:rsid w:val="74FD5BBD"/>
    <w:rsid w:val="75026370"/>
    <w:rsid w:val="7503140E"/>
    <w:rsid w:val="75046088"/>
    <w:rsid w:val="750B4F95"/>
    <w:rsid w:val="750F2F44"/>
    <w:rsid w:val="7510711A"/>
    <w:rsid w:val="751C6022"/>
    <w:rsid w:val="75221C72"/>
    <w:rsid w:val="75225CBF"/>
    <w:rsid w:val="7534240C"/>
    <w:rsid w:val="75350693"/>
    <w:rsid w:val="75371C19"/>
    <w:rsid w:val="7546677D"/>
    <w:rsid w:val="7548684B"/>
    <w:rsid w:val="754B2AC0"/>
    <w:rsid w:val="754C78D5"/>
    <w:rsid w:val="754D466C"/>
    <w:rsid w:val="754F4CC4"/>
    <w:rsid w:val="754F701B"/>
    <w:rsid w:val="75537945"/>
    <w:rsid w:val="75550C82"/>
    <w:rsid w:val="755809C4"/>
    <w:rsid w:val="755C32D8"/>
    <w:rsid w:val="75680D68"/>
    <w:rsid w:val="756E0B0A"/>
    <w:rsid w:val="757031D9"/>
    <w:rsid w:val="75750081"/>
    <w:rsid w:val="75765B5E"/>
    <w:rsid w:val="757B0FEB"/>
    <w:rsid w:val="757C314C"/>
    <w:rsid w:val="75814167"/>
    <w:rsid w:val="75842DFC"/>
    <w:rsid w:val="758E68E9"/>
    <w:rsid w:val="759E72E5"/>
    <w:rsid w:val="75A667A1"/>
    <w:rsid w:val="75AB1086"/>
    <w:rsid w:val="75B9416A"/>
    <w:rsid w:val="75BE0722"/>
    <w:rsid w:val="75C003BD"/>
    <w:rsid w:val="75C07FC8"/>
    <w:rsid w:val="75C247F2"/>
    <w:rsid w:val="75C367A6"/>
    <w:rsid w:val="75C90BC7"/>
    <w:rsid w:val="75CD2669"/>
    <w:rsid w:val="75CD7BB5"/>
    <w:rsid w:val="75DB3B29"/>
    <w:rsid w:val="75DE60CE"/>
    <w:rsid w:val="75E9087A"/>
    <w:rsid w:val="75F1698E"/>
    <w:rsid w:val="75F1777F"/>
    <w:rsid w:val="75FD499F"/>
    <w:rsid w:val="760619D9"/>
    <w:rsid w:val="760D5AFF"/>
    <w:rsid w:val="761376E3"/>
    <w:rsid w:val="7616035B"/>
    <w:rsid w:val="7617263F"/>
    <w:rsid w:val="761C72F5"/>
    <w:rsid w:val="762B52EC"/>
    <w:rsid w:val="763255D2"/>
    <w:rsid w:val="76437D02"/>
    <w:rsid w:val="764554CF"/>
    <w:rsid w:val="76460AE3"/>
    <w:rsid w:val="764B0BC9"/>
    <w:rsid w:val="764E5308"/>
    <w:rsid w:val="764F1267"/>
    <w:rsid w:val="765120A6"/>
    <w:rsid w:val="7651349B"/>
    <w:rsid w:val="765F6E33"/>
    <w:rsid w:val="766279A2"/>
    <w:rsid w:val="766A516F"/>
    <w:rsid w:val="766D5F57"/>
    <w:rsid w:val="76752AAE"/>
    <w:rsid w:val="767F05D4"/>
    <w:rsid w:val="76807564"/>
    <w:rsid w:val="769E7333"/>
    <w:rsid w:val="76A220B6"/>
    <w:rsid w:val="76B0479B"/>
    <w:rsid w:val="76BA6056"/>
    <w:rsid w:val="76BD6FDB"/>
    <w:rsid w:val="76BF7D3D"/>
    <w:rsid w:val="76C52AEB"/>
    <w:rsid w:val="76D264D4"/>
    <w:rsid w:val="76D33F40"/>
    <w:rsid w:val="76E66CF2"/>
    <w:rsid w:val="76E955C3"/>
    <w:rsid w:val="76F94659"/>
    <w:rsid w:val="76FD43AC"/>
    <w:rsid w:val="76FE39AD"/>
    <w:rsid w:val="77012063"/>
    <w:rsid w:val="77073F57"/>
    <w:rsid w:val="77091725"/>
    <w:rsid w:val="7710141C"/>
    <w:rsid w:val="77123ACC"/>
    <w:rsid w:val="771357EC"/>
    <w:rsid w:val="77181A42"/>
    <w:rsid w:val="771E16D3"/>
    <w:rsid w:val="772151E2"/>
    <w:rsid w:val="77247924"/>
    <w:rsid w:val="772B1B20"/>
    <w:rsid w:val="773B78A9"/>
    <w:rsid w:val="77510935"/>
    <w:rsid w:val="775846FD"/>
    <w:rsid w:val="775F45E6"/>
    <w:rsid w:val="77634F3B"/>
    <w:rsid w:val="777C6115"/>
    <w:rsid w:val="777F4D61"/>
    <w:rsid w:val="7793189B"/>
    <w:rsid w:val="77B23127"/>
    <w:rsid w:val="77BA2DB4"/>
    <w:rsid w:val="77C522CE"/>
    <w:rsid w:val="77D039DB"/>
    <w:rsid w:val="77D36332"/>
    <w:rsid w:val="77D47475"/>
    <w:rsid w:val="77D5273D"/>
    <w:rsid w:val="77D547E3"/>
    <w:rsid w:val="77D558AA"/>
    <w:rsid w:val="77D62A56"/>
    <w:rsid w:val="77E62733"/>
    <w:rsid w:val="77ED4572"/>
    <w:rsid w:val="77F03ED5"/>
    <w:rsid w:val="77F84B71"/>
    <w:rsid w:val="77F87021"/>
    <w:rsid w:val="7803659F"/>
    <w:rsid w:val="780E1955"/>
    <w:rsid w:val="781801D5"/>
    <w:rsid w:val="782402FC"/>
    <w:rsid w:val="78293DC3"/>
    <w:rsid w:val="782D2D9B"/>
    <w:rsid w:val="782E78FF"/>
    <w:rsid w:val="78303D52"/>
    <w:rsid w:val="78330E0B"/>
    <w:rsid w:val="78333364"/>
    <w:rsid w:val="783A6B2F"/>
    <w:rsid w:val="783F4F70"/>
    <w:rsid w:val="78412251"/>
    <w:rsid w:val="78553BB8"/>
    <w:rsid w:val="785B4C20"/>
    <w:rsid w:val="785D218D"/>
    <w:rsid w:val="7869031C"/>
    <w:rsid w:val="78755E1D"/>
    <w:rsid w:val="78AB4E34"/>
    <w:rsid w:val="78B8567C"/>
    <w:rsid w:val="78BD7F9F"/>
    <w:rsid w:val="78CF2CC4"/>
    <w:rsid w:val="78DD2859"/>
    <w:rsid w:val="78EA61E9"/>
    <w:rsid w:val="78F7615B"/>
    <w:rsid w:val="78FA5EDA"/>
    <w:rsid w:val="78FD1F09"/>
    <w:rsid w:val="78FD2962"/>
    <w:rsid w:val="78FE6EAC"/>
    <w:rsid w:val="79073835"/>
    <w:rsid w:val="79175312"/>
    <w:rsid w:val="79175EB6"/>
    <w:rsid w:val="79187CFE"/>
    <w:rsid w:val="791A7964"/>
    <w:rsid w:val="791B36E7"/>
    <w:rsid w:val="791F220A"/>
    <w:rsid w:val="792C4115"/>
    <w:rsid w:val="79307089"/>
    <w:rsid w:val="79373219"/>
    <w:rsid w:val="794A4288"/>
    <w:rsid w:val="794C7980"/>
    <w:rsid w:val="794D2E44"/>
    <w:rsid w:val="794F2C01"/>
    <w:rsid w:val="7954036F"/>
    <w:rsid w:val="7963139E"/>
    <w:rsid w:val="797132F1"/>
    <w:rsid w:val="7981755F"/>
    <w:rsid w:val="79822FDC"/>
    <w:rsid w:val="798B23A6"/>
    <w:rsid w:val="798B3C38"/>
    <w:rsid w:val="798D25D2"/>
    <w:rsid w:val="79981FE8"/>
    <w:rsid w:val="79A2018E"/>
    <w:rsid w:val="79A4023E"/>
    <w:rsid w:val="79A86542"/>
    <w:rsid w:val="79B97D87"/>
    <w:rsid w:val="79BE5E62"/>
    <w:rsid w:val="79BF626C"/>
    <w:rsid w:val="79D00261"/>
    <w:rsid w:val="79D45353"/>
    <w:rsid w:val="79D72059"/>
    <w:rsid w:val="79DF671D"/>
    <w:rsid w:val="79E652F3"/>
    <w:rsid w:val="79EB7622"/>
    <w:rsid w:val="79EC33C3"/>
    <w:rsid w:val="79F67F8F"/>
    <w:rsid w:val="79FC2AA8"/>
    <w:rsid w:val="7A107C8F"/>
    <w:rsid w:val="7A1C1793"/>
    <w:rsid w:val="7A1C4DC7"/>
    <w:rsid w:val="7A2769D9"/>
    <w:rsid w:val="7A2E73B3"/>
    <w:rsid w:val="7A376501"/>
    <w:rsid w:val="7A3A0217"/>
    <w:rsid w:val="7A3A078E"/>
    <w:rsid w:val="7A3D442E"/>
    <w:rsid w:val="7A45124E"/>
    <w:rsid w:val="7A47525B"/>
    <w:rsid w:val="7A49683B"/>
    <w:rsid w:val="7A4C7BCA"/>
    <w:rsid w:val="7A5375F6"/>
    <w:rsid w:val="7A5955C8"/>
    <w:rsid w:val="7A6D0C60"/>
    <w:rsid w:val="7A7051EE"/>
    <w:rsid w:val="7A7F307F"/>
    <w:rsid w:val="7A8363CF"/>
    <w:rsid w:val="7A850292"/>
    <w:rsid w:val="7A864059"/>
    <w:rsid w:val="7A8759F4"/>
    <w:rsid w:val="7A8D3C3C"/>
    <w:rsid w:val="7A945BC3"/>
    <w:rsid w:val="7A991285"/>
    <w:rsid w:val="7A9C0D44"/>
    <w:rsid w:val="7AA7754C"/>
    <w:rsid w:val="7AAC03BC"/>
    <w:rsid w:val="7AB2157C"/>
    <w:rsid w:val="7AB64A22"/>
    <w:rsid w:val="7AC15EF1"/>
    <w:rsid w:val="7AC179AB"/>
    <w:rsid w:val="7AC25CC5"/>
    <w:rsid w:val="7AC528C4"/>
    <w:rsid w:val="7ACB2084"/>
    <w:rsid w:val="7ACE4545"/>
    <w:rsid w:val="7AD35696"/>
    <w:rsid w:val="7AD42E32"/>
    <w:rsid w:val="7ADD23D2"/>
    <w:rsid w:val="7AE04623"/>
    <w:rsid w:val="7AE80992"/>
    <w:rsid w:val="7AE9752E"/>
    <w:rsid w:val="7AEC1055"/>
    <w:rsid w:val="7AED3CDF"/>
    <w:rsid w:val="7AEF52E1"/>
    <w:rsid w:val="7AF50E1E"/>
    <w:rsid w:val="7AF51135"/>
    <w:rsid w:val="7AFB1658"/>
    <w:rsid w:val="7AFC46DA"/>
    <w:rsid w:val="7AFE078F"/>
    <w:rsid w:val="7B0320BB"/>
    <w:rsid w:val="7B1E3029"/>
    <w:rsid w:val="7B1E76B6"/>
    <w:rsid w:val="7B2434C8"/>
    <w:rsid w:val="7B2B5921"/>
    <w:rsid w:val="7B3E6A29"/>
    <w:rsid w:val="7B5204F9"/>
    <w:rsid w:val="7B5E2383"/>
    <w:rsid w:val="7B6E188D"/>
    <w:rsid w:val="7B6E3852"/>
    <w:rsid w:val="7B745405"/>
    <w:rsid w:val="7B780677"/>
    <w:rsid w:val="7B7B37C4"/>
    <w:rsid w:val="7B7F6C97"/>
    <w:rsid w:val="7B846902"/>
    <w:rsid w:val="7B854D36"/>
    <w:rsid w:val="7B911201"/>
    <w:rsid w:val="7B985F55"/>
    <w:rsid w:val="7B9C23E8"/>
    <w:rsid w:val="7B9C3BF4"/>
    <w:rsid w:val="7BAE3A12"/>
    <w:rsid w:val="7BCB44ED"/>
    <w:rsid w:val="7BCD7043"/>
    <w:rsid w:val="7BD07123"/>
    <w:rsid w:val="7BDA2B39"/>
    <w:rsid w:val="7BDF7110"/>
    <w:rsid w:val="7BE717EA"/>
    <w:rsid w:val="7BF201C6"/>
    <w:rsid w:val="7C043584"/>
    <w:rsid w:val="7C0465B0"/>
    <w:rsid w:val="7C0815E0"/>
    <w:rsid w:val="7C196736"/>
    <w:rsid w:val="7C1D75B0"/>
    <w:rsid w:val="7C274E7E"/>
    <w:rsid w:val="7C280E42"/>
    <w:rsid w:val="7C29147F"/>
    <w:rsid w:val="7C4E620F"/>
    <w:rsid w:val="7C5F0B5C"/>
    <w:rsid w:val="7C627E0D"/>
    <w:rsid w:val="7C6629CF"/>
    <w:rsid w:val="7C6F5D04"/>
    <w:rsid w:val="7C7A20BD"/>
    <w:rsid w:val="7C7F4F3C"/>
    <w:rsid w:val="7C820D11"/>
    <w:rsid w:val="7C901AEB"/>
    <w:rsid w:val="7C9028B2"/>
    <w:rsid w:val="7C9B44B6"/>
    <w:rsid w:val="7C9C55B4"/>
    <w:rsid w:val="7CA05EF4"/>
    <w:rsid w:val="7CA20818"/>
    <w:rsid w:val="7CA544A2"/>
    <w:rsid w:val="7CAD59A1"/>
    <w:rsid w:val="7CB347D7"/>
    <w:rsid w:val="7CB553E5"/>
    <w:rsid w:val="7CCD67D7"/>
    <w:rsid w:val="7CE07511"/>
    <w:rsid w:val="7CE21673"/>
    <w:rsid w:val="7CE2570E"/>
    <w:rsid w:val="7CE7314F"/>
    <w:rsid w:val="7CF45745"/>
    <w:rsid w:val="7CF64E24"/>
    <w:rsid w:val="7D0A4201"/>
    <w:rsid w:val="7D0C418B"/>
    <w:rsid w:val="7D106D92"/>
    <w:rsid w:val="7D1973A1"/>
    <w:rsid w:val="7D1A2C2B"/>
    <w:rsid w:val="7D1B7BFB"/>
    <w:rsid w:val="7D1C15BA"/>
    <w:rsid w:val="7D276660"/>
    <w:rsid w:val="7D295F33"/>
    <w:rsid w:val="7D2D0569"/>
    <w:rsid w:val="7D2D2D90"/>
    <w:rsid w:val="7D393FED"/>
    <w:rsid w:val="7D3A38C8"/>
    <w:rsid w:val="7D4033FD"/>
    <w:rsid w:val="7D4D307B"/>
    <w:rsid w:val="7D4D5856"/>
    <w:rsid w:val="7D537A55"/>
    <w:rsid w:val="7D540062"/>
    <w:rsid w:val="7D583911"/>
    <w:rsid w:val="7D6D5733"/>
    <w:rsid w:val="7D737A9C"/>
    <w:rsid w:val="7D74270C"/>
    <w:rsid w:val="7D826F26"/>
    <w:rsid w:val="7D8E58E9"/>
    <w:rsid w:val="7D926D06"/>
    <w:rsid w:val="7D933791"/>
    <w:rsid w:val="7D967F99"/>
    <w:rsid w:val="7DA2752B"/>
    <w:rsid w:val="7DA50C13"/>
    <w:rsid w:val="7DA90031"/>
    <w:rsid w:val="7DAA16F6"/>
    <w:rsid w:val="7DAF7F6B"/>
    <w:rsid w:val="7DB33C5F"/>
    <w:rsid w:val="7DB61C4E"/>
    <w:rsid w:val="7DBD154F"/>
    <w:rsid w:val="7DD040B2"/>
    <w:rsid w:val="7DD844CB"/>
    <w:rsid w:val="7DDA79B6"/>
    <w:rsid w:val="7DE14EF9"/>
    <w:rsid w:val="7DE743E4"/>
    <w:rsid w:val="7DEA3B28"/>
    <w:rsid w:val="7DED63B1"/>
    <w:rsid w:val="7DEE794F"/>
    <w:rsid w:val="7DF0751D"/>
    <w:rsid w:val="7DF22173"/>
    <w:rsid w:val="7E001BC6"/>
    <w:rsid w:val="7E0C3060"/>
    <w:rsid w:val="7E0E51B0"/>
    <w:rsid w:val="7E1717BD"/>
    <w:rsid w:val="7E183EEA"/>
    <w:rsid w:val="7E1A6BA8"/>
    <w:rsid w:val="7E2F65C9"/>
    <w:rsid w:val="7E327526"/>
    <w:rsid w:val="7E343243"/>
    <w:rsid w:val="7E440B2B"/>
    <w:rsid w:val="7E440C10"/>
    <w:rsid w:val="7E4851EA"/>
    <w:rsid w:val="7E4A22B2"/>
    <w:rsid w:val="7E4E375D"/>
    <w:rsid w:val="7E4F61B6"/>
    <w:rsid w:val="7E5F6110"/>
    <w:rsid w:val="7E666245"/>
    <w:rsid w:val="7E6752B6"/>
    <w:rsid w:val="7E694F72"/>
    <w:rsid w:val="7E717A7B"/>
    <w:rsid w:val="7E77254B"/>
    <w:rsid w:val="7E80292D"/>
    <w:rsid w:val="7E805FD1"/>
    <w:rsid w:val="7E84382C"/>
    <w:rsid w:val="7E855AE7"/>
    <w:rsid w:val="7E875F23"/>
    <w:rsid w:val="7E8B3D29"/>
    <w:rsid w:val="7E91611B"/>
    <w:rsid w:val="7E965266"/>
    <w:rsid w:val="7E9B065D"/>
    <w:rsid w:val="7E9D718F"/>
    <w:rsid w:val="7EA7411B"/>
    <w:rsid w:val="7EA874D5"/>
    <w:rsid w:val="7EAA0221"/>
    <w:rsid w:val="7EAF2013"/>
    <w:rsid w:val="7EB02A3C"/>
    <w:rsid w:val="7EB2593D"/>
    <w:rsid w:val="7EB714C1"/>
    <w:rsid w:val="7EB835B8"/>
    <w:rsid w:val="7EC301BA"/>
    <w:rsid w:val="7EC97091"/>
    <w:rsid w:val="7ED326C7"/>
    <w:rsid w:val="7EDF0805"/>
    <w:rsid w:val="7EEC1E59"/>
    <w:rsid w:val="7EF618DD"/>
    <w:rsid w:val="7EFB70B7"/>
    <w:rsid w:val="7F0A6F2E"/>
    <w:rsid w:val="7F11504C"/>
    <w:rsid w:val="7F21551C"/>
    <w:rsid w:val="7F221B2F"/>
    <w:rsid w:val="7F234D02"/>
    <w:rsid w:val="7F251450"/>
    <w:rsid w:val="7F3161A9"/>
    <w:rsid w:val="7F317B7F"/>
    <w:rsid w:val="7F381A47"/>
    <w:rsid w:val="7F3932D6"/>
    <w:rsid w:val="7F3B3199"/>
    <w:rsid w:val="7F3D07F6"/>
    <w:rsid w:val="7F4A4889"/>
    <w:rsid w:val="7F4D23DA"/>
    <w:rsid w:val="7F5458D0"/>
    <w:rsid w:val="7F5F214F"/>
    <w:rsid w:val="7F613C7E"/>
    <w:rsid w:val="7F63160A"/>
    <w:rsid w:val="7F64085D"/>
    <w:rsid w:val="7F65557D"/>
    <w:rsid w:val="7F666046"/>
    <w:rsid w:val="7F6F4C66"/>
    <w:rsid w:val="7F827F3A"/>
    <w:rsid w:val="7F834C81"/>
    <w:rsid w:val="7F8554F9"/>
    <w:rsid w:val="7F886A6A"/>
    <w:rsid w:val="7F8A1C9D"/>
    <w:rsid w:val="7F8D7BFF"/>
    <w:rsid w:val="7F912BF1"/>
    <w:rsid w:val="7F9D261C"/>
    <w:rsid w:val="7FA4150B"/>
    <w:rsid w:val="7FA51D95"/>
    <w:rsid w:val="7FC16445"/>
    <w:rsid w:val="7FCC65E5"/>
    <w:rsid w:val="7FD25345"/>
    <w:rsid w:val="7FDF0363"/>
    <w:rsid w:val="7FE855AD"/>
    <w:rsid w:val="7FED3E81"/>
    <w:rsid w:val="7FED79B9"/>
    <w:rsid w:val="7FF33517"/>
    <w:rsid w:val="7FF37A01"/>
    <w:rsid w:val="7FFA696E"/>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qFormat/>
    <w:uiPriority w:val="1"/>
  </w:style>
  <w:style w:type="table" w:default="1" w:styleId="3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caption"/>
    <w:basedOn w:val="1"/>
    <w:next w:val="1"/>
    <w:unhideWhenUsed/>
    <w:qFormat/>
    <w:uiPriority w:val="35"/>
    <w:pPr>
      <w:spacing w:after="200"/>
      <w:jc w:val="center"/>
    </w:pPr>
    <w:rPr>
      <w:rFonts w:ascii="Arial" w:hAnsi="Arial"/>
      <w:i/>
      <w:iCs/>
      <w:sz w:val="18"/>
      <w:szCs w:val="18"/>
    </w:rPr>
  </w:style>
  <w:style w:type="paragraph" w:styleId="23">
    <w:name w:val="annotation text"/>
    <w:basedOn w:val="1"/>
    <w:qFormat/>
    <w:uiPriority w:val="0"/>
  </w:style>
  <w:style w:type="paragraph" w:styleId="24">
    <w:name w:val="Body Text"/>
    <w:basedOn w:val="1"/>
    <w:qFormat/>
    <w:uiPriority w:val="0"/>
    <w:pPr>
      <w:spacing w:after="120"/>
      <w:jc w:val="both"/>
    </w:pPr>
    <w:rPr>
      <w:rFonts w:eastAsia="MS Mincho"/>
    </w:rPr>
  </w:style>
  <w:style w:type="paragraph" w:styleId="25">
    <w:name w:val="toc 8"/>
    <w:basedOn w:val="21"/>
    <w:next w:val="1"/>
    <w:qFormat/>
    <w:uiPriority w:val="39"/>
    <w:pPr>
      <w:spacing w:before="180"/>
      <w:ind w:left="2693" w:hanging="2693"/>
    </w:pPr>
    <w:rPr>
      <w:b/>
    </w:rPr>
  </w:style>
  <w:style w:type="paragraph" w:styleId="26">
    <w:name w:val="Balloon Text"/>
    <w:basedOn w:val="1"/>
    <w:link w:val="72"/>
    <w:qFormat/>
    <w:uiPriority w:val="0"/>
    <w:pPr>
      <w:spacing w:after="0"/>
    </w:pPr>
    <w:rPr>
      <w:rFonts w:ascii="Segoe UI" w:hAnsi="Segoe UI" w:cs="Segoe UI"/>
      <w:sz w:val="18"/>
      <w:szCs w:val="18"/>
    </w:rPr>
  </w:style>
  <w:style w:type="paragraph" w:styleId="27">
    <w:name w:val="footer"/>
    <w:basedOn w:val="1"/>
    <w:qFormat/>
    <w:uiPriority w:val="0"/>
    <w:pPr>
      <w:jc w:val="center"/>
    </w:pPr>
    <w:rPr>
      <w:i/>
    </w:rPr>
  </w:style>
  <w:style w:type="paragraph" w:styleId="28">
    <w:name w:val="header"/>
    <w:basedOn w:val="1"/>
    <w:link w:val="92"/>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9">
    <w:name w:val="toc 9"/>
    <w:basedOn w:val="25"/>
    <w:next w:val="1"/>
    <w:qFormat/>
    <w:uiPriority w:val="39"/>
    <w:pPr>
      <w:ind w:left="1418" w:hanging="1418"/>
    </w:pPr>
  </w:style>
  <w:style w:type="paragraph" w:styleId="30">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basedOn w:val="33"/>
    <w:semiHidden/>
    <w:qFormat/>
    <w:uiPriority w:val="0"/>
  </w:style>
  <w:style w:type="character" w:styleId="35">
    <w:name w:val="FollowedHyperlink"/>
    <w:basedOn w:val="33"/>
    <w:qFormat/>
    <w:uiPriority w:val="0"/>
    <w:rPr>
      <w:color w:val="954F72" w:themeColor="followedHyperlink"/>
      <w:u w:val="single"/>
      <w14:textFill>
        <w14:solidFill>
          <w14:schemeClr w14:val="folHlink"/>
        </w14:solidFill>
      </w14:textFill>
    </w:rPr>
  </w:style>
  <w:style w:type="character" w:styleId="36">
    <w:name w:val="Hyperlink"/>
    <w:basedOn w:val="33"/>
    <w:qFormat/>
    <w:uiPriority w:val="0"/>
    <w:rPr>
      <w:color w:val="0563C1" w:themeColor="hyperlink"/>
      <w:u w:val="single"/>
      <w14:textFill>
        <w14:solidFill>
          <w14:schemeClr w14:val="hlink"/>
        </w14:solidFill>
      </w14:textFill>
    </w:rPr>
  </w:style>
  <w:style w:type="paragraph" w:customStyle="1" w:styleId="37">
    <w:name w:val="EQ"/>
    <w:basedOn w:val="1"/>
    <w:next w:val="1"/>
    <w:qFormat/>
    <w:uiPriority w:val="0"/>
    <w:pPr>
      <w:keepLines/>
      <w:tabs>
        <w:tab w:val="center" w:pos="4536"/>
        <w:tab w:val="right" w:pos="9072"/>
      </w:tabs>
    </w:pPr>
  </w:style>
  <w:style w:type="character" w:customStyle="1" w:styleId="38">
    <w:name w:val="ZGSM"/>
    <w:qFormat/>
    <w:uiPriority w:val="0"/>
  </w:style>
  <w:style w:type="paragraph" w:customStyle="1" w:styleId="3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40">
    <w:name w:val="TT"/>
    <w:basedOn w:val="2"/>
    <w:next w:val="1"/>
    <w:qFormat/>
    <w:uiPriority w:val="0"/>
    <w:pPr>
      <w:outlineLvl w:val="9"/>
    </w:pPr>
  </w:style>
  <w:style w:type="paragraph" w:customStyle="1" w:styleId="41">
    <w:name w:val="NF"/>
    <w:basedOn w:val="42"/>
    <w:qFormat/>
    <w:uiPriority w:val="0"/>
    <w:pPr>
      <w:keepNext/>
      <w:spacing w:after="0"/>
    </w:pPr>
    <w:rPr>
      <w:rFonts w:ascii="Arial" w:hAnsi="Arial"/>
      <w:sz w:val="18"/>
    </w:rPr>
  </w:style>
  <w:style w:type="paragraph" w:customStyle="1" w:styleId="42">
    <w:name w:val="NO"/>
    <w:basedOn w:val="1"/>
    <w:qFormat/>
    <w:uiPriority w:val="0"/>
    <w:pPr>
      <w:keepLines/>
      <w:ind w:left="1135" w:hanging="851"/>
    </w:pPr>
  </w:style>
  <w:style w:type="paragraph" w:customStyle="1" w:styleId="4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4">
    <w:name w:val="TAR"/>
    <w:basedOn w:val="45"/>
    <w:qFormat/>
    <w:uiPriority w:val="0"/>
    <w:pPr>
      <w:jc w:val="right"/>
    </w:pPr>
  </w:style>
  <w:style w:type="paragraph" w:customStyle="1" w:styleId="45">
    <w:name w:val="TAL"/>
    <w:basedOn w:val="1"/>
    <w:qFormat/>
    <w:uiPriority w:val="0"/>
    <w:pPr>
      <w:keepNext/>
      <w:keepLines/>
      <w:spacing w:after="0"/>
    </w:pPr>
    <w:rPr>
      <w:rFonts w:ascii="Arial" w:hAnsi="Arial"/>
      <w:sz w:val="18"/>
    </w:rPr>
  </w:style>
  <w:style w:type="paragraph" w:customStyle="1" w:styleId="46">
    <w:name w:val="TAH"/>
    <w:basedOn w:val="47"/>
    <w:qFormat/>
    <w:uiPriority w:val="0"/>
    <w:rPr>
      <w:b/>
    </w:rPr>
  </w:style>
  <w:style w:type="paragraph" w:customStyle="1" w:styleId="47">
    <w:name w:val="TAC"/>
    <w:basedOn w:val="45"/>
    <w:qFormat/>
    <w:uiPriority w:val="0"/>
    <w:pPr>
      <w:jc w:val="center"/>
    </w:pPr>
  </w:style>
  <w:style w:type="paragraph" w:customStyle="1" w:styleId="4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9">
    <w:name w:val="EX"/>
    <w:basedOn w:val="1"/>
    <w:qFormat/>
    <w:uiPriority w:val="0"/>
    <w:pPr>
      <w:keepLines/>
      <w:ind w:left="1702" w:hanging="1418"/>
    </w:pPr>
  </w:style>
  <w:style w:type="paragraph" w:customStyle="1" w:styleId="50">
    <w:name w:val="FP"/>
    <w:basedOn w:val="1"/>
    <w:qFormat/>
    <w:uiPriority w:val="0"/>
    <w:pPr>
      <w:spacing w:after="0"/>
    </w:pPr>
  </w:style>
  <w:style w:type="paragraph" w:customStyle="1" w:styleId="51">
    <w:name w:val="NW"/>
    <w:basedOn w:val="42"/>
    <w:qFormat/>
    <w:uiPriority w:val="0"/>
    <w:pPr>
      <w:spacing w:after="0"/>
    </w:pPr>
  </w:style>
  <w:style w:type="paragraph" w:customStyle="1" w:styleId="52">
    <w:name w:val="EW"/>
    <w:basedOn w:val="49"/>
    <w:qFormat/>
    <w:uiPriority w:val="0"/>
    <w:pPr>
      <w:spacing w:after="0"/>
    </w:pPr>
  </w:style>
  <w:style w:type="paragraph" w:customStyle="1" w:styleId="53">
    <w:name w:val="B1"/>
    <w:basedOn w:val="14"/>
    <w:qFormat/>
    <w:uiPriority w:val="0"/>
  </w:style>
  <w:style w:type="paragraph" w:customStyle="1" w:styleId="54">
    <w:name w:val="Editor's Note"/>
    <w:basedOn w:val="42"/>
    <w:qFormat/>
    <w:uiPriority w:val="0"/>
    <w:rPr>
      <w:color w:val="FF0000"/>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0">
    <w:name w:val="TAN"/>
    <w:basedOn w:val="45"/>
    <w:qFormat/>
    <w:uiPriority w:val="0"/>
    <w:pPr>
      <w:ind w:left="851" w:hanging="851"/>
    </w:pPr>
  </w:style>
  <w:style w:type="paragraph" w:customStyle="1" w:styleId="6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2">
    <w:name w:val="TF"/>
    <w:basedOn w:val="55"/>
    <w:qFormat/>
    <w:uiPriority w:val="0"/>
    <w:pPr>
      <w:keepNext w:val="0"/>
      <w:spacing w:before="0" w:after="240"/>
    </w:pPr>
  </w:style>
  <w:style w:type="paragraph" w:customStyle="1" w:styleId="6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4">
    <w:name w:val="B2"/>
    <w:basedOn w:val="13"/>
    <w:qFormat/>
    <w:uiPriority w:val="0"/>
  </w:style>
  <w:style w:type="paragraph" w:customStyle="1" w:styleId="65">
    <w:name w:val="B3"/>
    <w:basedOn w:val="12"/>
    <w:qFormat/>
    <w:uiPriority w:val="0"/>
    <w:pPr>
      <w:ind w:left="1135" w:hanging="284"/>
    </w:pPr>
  </w:style>
  <w:style w:type="paragraph" w:customStyle="1" w:styleId="66">
    <w:name w:val="B4"/>
    <w:basedOn w:val="1"/>
    <w:qFormat/>
    <w:uiPriority w:val="0"/>
    <w:pPr>
      <w:ind w:left="1418" w:hanging="284"/>
    </w:pPr>
  </w:style>
  <w:style w:type="paragraph" w:customStyle="1" w:styleId="67">
    <w:name w:val="B5"/>
    <w:basedOn w:val="1"/>
    <w:qFormat/>
    <w:uiPriority w:val="0"/>
    <w:pPr>
      <w:ind w:left="1702" w:hanging="284"/>
    </w:pPr>
  </w:style>
  <w:style w:type="paragraph" w:customStyle="1" w:styleId="68">
    <w:name w:val="ZTD"/>
    <w:basedOn w:val="57"/>
    <w:qFormat/>
    <w:uiPriority w:val="0"/>
    <w:pPr>
      <w:framePr w:hRule="auto" w:y="852"/>
    </w:pPr>
    <w:rPr>
      <w:i w:val="0"/>
      <w:sz w:val="40"/>
    </w:rPr>
  </w:style>
  <w:style w:type="paragraph" w:customStyle="1" w:styleId="69">
    <w:name w:val="ZV"/>
    <w:basedOn w:val="59"/>
    <w:qFormat/>
    <w:uiPriority w:val="0"/>
    <w:pPr>
      <w:framePr w:y="16161"/>
    </w:pPr>
  </w:style>
  <w:style w:type="paragraph" w:customStyle="1" w:styleId="70">
    <w:name w:val="TAJ"/>
    <w:basedOn w:val="55"/>
    <w:qFormat/>
    <w:uiPriority w:val="0"/>
  </w:style>
  <w:style w:type="paragraph" w:customStyle="1" w:styleId="71">
    <w:name w:val="Guidance"/>
    <w:basedOn w:val="1"/>
    <w:qFormat/>
    <w:uiPriority w:val="0"/>
    <w:rPr>
      <w:i/>
      <w:color w:val="0000FF"/>
    </w:rPr>
  </w:style>
  <w:style w:type="character" w:customStyle="1" w:styleId="72">
    <w:name w:val="批注框文本 字符"/>
    <w:link w:val="26"/>
    <w:qFormat/>
    <w:uiPriority w:val="0"/>
    <w:rPr>
      <w:rFonts w:ascii="Segoe UI" w:hAnsi="Segoe UI" w:cs="Segoe UI"/>
      <w:sz w:val="18"/>
      <w:szCs w:val="18"/>
      <w:lang w:eastAsia="en-US"/>
    </w:rPr>
  </w:style>
  <w:style w:type="character" w:customStyle="1" w:styleId="73">
    <w:name w:val="Unresolved Mention"/>
    <w:basedOn w:val="33"/>
    <w:semiHidden/>
    <w:unhideWhenUsed/>
    <w:qFormat/>
    <w:uiPriority w:val="99"/>
    <w:rPr>
      <w:color w:val="605E5C"/>
      <w:shd w:val="clear" w:color="auto" w:fill="E1DFDD"/>
    </w:rPr>
  </w:style>
  <w:style w:type="paragraph" w:styleId="74">
    <w:name w:val="List Paragraph"/>
    <w:basedOn w:val="1"/>
    <w:link w:val="75"/>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5">
    <w:name w:val="列出段落 字符"/>
    <w:link w:val="74"/>
    <w:qFormat/>
    <w:locked/>
    <w:uiPriority w:val="34"/>
    <w:rPr>
      <w:rFonts w:asciiTheme="minorHAnsi" w:hAnsiTheme="minorHAnsi" w:eastAsiaTheme="minorHAnsi" w:cstheme="minorBidi"/>
      <w:sz w:val="22"/>
      <w:szCs w:val="22"/>
      <w:lang w:val="sv-SE" w:eastAsia="en-US"/>
    </w:rPr>
  </w:style>
  <w:style w:type="paragraph" w:customStyle="1" w:styleId="76">
    <w:name w:val="CR Cover Page"/>
    <w:link w:val="77"/>
    <w:qFormat/>
    <w:uiPriority w:val="0"/>
    <w:pPr>
      <w:spacing w:after="120"/>
    </w:pPr>
    <w:rPr>
      <w:rFonts w:ascii="Arial" w:hAnsi="Arial" w:eastAsia="Times New Roman" w:cs="Times New Roman"/>
      <w:lang w:val="en-GB" w:eastAsia="en-US" w:bidi="ar-SA"/>
    </w:rPr>
  </w:style>
  <w:style w:type="character" w:customStyle="1" w:styleId="77">
    <w:name w:val="CR Cover Page Char"/>
    <w:link w:val="76"/>
    <w:qFormat/>
    <w:uiPriority w:val="0"/>
    <w:rPr>
      <w:rFonts w:ascii="Arial" w:hAnsi="Arial"/>
      <w:lang w:eastAsia="en-US"/>
    </w:rPr>
  </w:style>
  <w:style w:type="paragraph" w:customStyle="1" w:styleId="78">
    <w:name w:val="RAN4 H1"/>
    <w:basedOn w:val="1"/>
    <w:next w:val="1"/>
    <w:link w:val="79"/>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9">
    <w:name w:val="RAN4 H1 Char"/>
    <w:basedOn w:val="33"/>
    <w:link w:val="78"/>
    <w:qFormat/>
    <w:uiPriority w:val="0"/>
    <w:rPr>
      <w:rFonts w:ascii="Arial" w:hAnsi="Arial" w:eastAsia="宋体" w:cs="Times New Roman"/>
      <w:sz w:val="36"/>
      <w:szCs w:val="20"/>
      <w:lang w:val="en-GB"/>
    </w:rPr>
  </w:style>
  <w:style w:type="paragraph" w:customStyle="1" w:styleId="80">
    <w:name w:val="RAN4 H2"/>
    <w:basedOn w:val="3"/>
    <w:next w:val="1"/>
    <w:qFormat/>
    <w:uiPriority w:val="0"/>
    <w:pPr>
      <w:numPr>
        <w:ilvl w:val="1"/>
        <w:numId w:val="1"/>
      </w:numPr>
      <w:ind w:left="431" w:hanging="431"/>
    </w:pPr>
    <w:rPr>
      <w:lang w:val="en-US"/>
    </w:rPr>
  </w:style>
  <w:style w:type="paragraph" w:customStyle="1" w:styleId="81">
    <w:name w:val="RAN4 proposal"/>
    <w:basedOn w:val="22"/>
    <w:next w:val="1"/>
    <w:qFormat/>
    <w:uiPriority w:val="0"/>
    <w:pPr>
      <w:numPr>
        <w:ilvl w:val="0"/>
        <w:numId w:val="2"/>
      </w:numPr>
      <w:ind w:left="0" w:firstLine="0"/>
      <w:jc w:val="left"/>
    </w:pPr>
    <w:rPr>
      <w:rFonts w:ascii="Times New Roman" w:hAnsi="Times New Roman"/>
      <w:b/>
      <w:i w:val="0"/>
      <w:sz w:val="20"/>
    </w:rPr>
  </w:style>
  <w:style w:type="paragraph" w:customStyle="1" w:styleId="82">
    <w:name w:val="Reference"/>
    <w:basedOn w:val="1"/>
    <w:qFormat/>
    <w:uiPriority w:val="0"/>
    <w:pPr>
      <w:spacing w:after="0"/>
      <w:ind w:left="567" w:hanging="283"/>
    </w:pPr>
    <w:rPr>
      <w:lang w:eastAsia="en-GB"/>
    </w:rPr>
  </w:style>
  <w:style w:type="paragraph" w:customStyle="1" w:styleId="83">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4">
    <w:name w:val="题注 字符"/>
    <w:basedOn w:val="33"/>
    <w:qFormat/>
    <w:uiPriority w:val="0"/>
    <w:rPr>
      <w:rFonts w:hint="default" w:ascii="Calibri" w:hAnsi="Calibri" w:eastAsia="Calibri" w:cs="Calibri"/>
      <w:b/>
      <w:bCs/>
      <w:sz w:val="22"/>
      <w:szCs w:val="22"/>
      <w:lang w:val="en-US" w:eastAsia="en-US"/>
    </w:rPr>
  </w:style>
  <w:style w:type="character" w:customStyle="1" w:styleId="85">
    <w:name w:val="TAC Char"/>
    <w:basedOn w:val="33"/>
    <w:qFormat/>
    <w:uiPriority w:val="0"/>
    <w:rPr>
      <w:rFonts w:ascii="Arial" w:hAnsi="Arial" w:eastAsia="Times New Roman" w:cs="Arial"/>
      <w:sz w:val="18"/>
      <w:lang w:val="en-US" w:eastAsia="en-US"/>
    </w:rPr>
  </w:style>
  <w:style w:type="character" w:customStyle="1" w:styleId="86">
    <w:name w:val="TAH Car"/>
    <w:basedOn w:val="33"/>
    <w:qFormat/>
    <w:uiPriority w:val="0"/>
    <w:rPr>
      <w:rFonts w:hint="default" w:ascii="Arial" w:hAnsi="Arial" w:eastAsia="Times New Roman" w:cs="Arial"/>
      <w:b/>
      <w:sz w:val="18"/>
      <w:lang w:val="en-US" w:eastAsia="en-US"/>
    </w:rPr>
  </w:style>
  <w:style w:type="character" w:customStyle="1" w:styleId="87">
    <w:name w:val="TAN Char"/>
    <w:basedOn w:val="33"/>
    <w:qFormat/>
    <w:uiPriority w:val="0"/>
    <w:rPr>
      <w:rFonts w:hint="default" w:ascii="Arial" w:hAnsi="Arial" w:eastAsia="Times New Roman" w:cs="Arial"/>
      <w:sz w:val="18"/>
      <w:lang w:val="en-US" w:eastAsia="en-US"/>
    </w:rPr>
  </w:style>
  <w:style w:type="character" w:customStyle="1" w:styleId="88">
    <w:name w:val="标题 3 字符"/>
    <w:basedOn w:val="33"/>
    <w:qFormat/>
    <w:uiPriority w:val="0"/>
    <w:rPr>
      <w:rFonts w:hint="default" w:ascii="Arial" w:hAnsi="Arial" w:eastAsia="Times New Roman" w:cs="Arial"/>
      <w:sz w:val="28"/>
      <w:lang w:eastAsia="en-US"/>
    </w:rPr>
  </w:style>
  <w:style w:type="character" w:customStyle="1" w:styleId="89">
    <w:name w:val="标题 2 字符"/>
    <w:basedOn w:val="33"/>
    <w:link w:val="3"/>
    <w:qFormat/>
    <w:uiPriority w:val="0"/>
    <w:rPr>
      <w:rFonts w:ascii="Calibri Light" w:hAnsi="Calibri Light" w:eastAsia="Malgun Gothic" w:cs="Times New Roman"/>
      <w:b/>
      <w:bCs/>
      <w:sz w:val="32"/>
      <w:szCs w:val="32"/>
      <w:lang w:eastAsia="en-US"/>
    </w:rPr>
  </w:style>
  <w:style w:type="character" w:customStyle="1" w:styleId="90">
    <w:name w:val="TAL Car"/>
    <w:basedOn w:val="33"/>
    <w:qFormat/>
    <w:uiPriority w:val="0"/>
    <w:rPr>
      <w:rFonts w:hint="default" w:ascii="Arial" w:hAnsi="Arial" w:eastAsia="Times New Roman" w:cs="Times New Roman"/>
      <w:sz w:val="18"/>
      <w:szCs w:val="20"/>
      <w:lang w:val="en-US" w:eastAsia="en-US"/>
    </w:rPr>
  </w:style>
  <w:style w:type="character" w:customStyle="1" w:styleId="91">
    <w:name w:val="TH Char"/>
    <w:basedOn w:val="33"/>
    <w:qFormat/>
    <w:uiPriority w:val="0"/>
    <w:rPr>
      <w:rFonts w:hint="default" w:ascii="Arial" w:hAnsi="Arial" w:eastAsia="Times New Roman" w:cs="Times New Roman"/>
      <w:b/>
      <w:sz w:val="20"/>
      <w:szCs w:val="20"/>
      <w:lang w:val="en-US" w:eastAsia="en-US"/>
    </w:rPr>
  </w:style>
  <w:style w:type="character" w:customStyle="1" w:styleId="92">
    <w:name w:val="页眉 字符"/>
    <w:basedOn w:val="33"/>
    <w:link w:val="28"/>
    <w:qFormat/>
    <w:uiPriority w:val="99"/>
    <w:rPr>
      <w:rFonts w:ascii="Arial" w:hAnsi="Arial" w:eastAsia="Times New Roman"/>
      <w:b/>
      <w:sz w:val="18"/>
      <w:lang w:val="en-GB" w:eastAsia="ja-JP"/>
    </w:rPr>
  </w:style>
  <w:style w:type="character" w:customStyle="1" w:styleId="93">
    <w:name w:val="列出段落 字符1"/>
    <w:basedOn w:val="33"/>
    <w:qFormat/>
    <w:uiPriority w:val="0"/>
    <w:rPr>
      <w:lang w:eastAsia="en-US"/>
    </w:rPr>
  </w:style>
  <w:style w:type="character" w:customStyle="1" w:styleId="94">
    <w:name w:val="B1 Char"/>
    <w:basedOn w:val="33"/>
    <w:qFormat/>
    <w:uiPriority w:val="0"/>
    <w:rPr>
      <w:rFonts w:hint="default" w:ascii="Times New Roman" w:hAnsi="Times New Roman" w:eastAsia="Times New Roman" w:cs="Times New Roman"/>
      <w:lang w:eastAsia="en-US"/>
    </w:rPr>
  </w:style>
  <w:style w:type="character" w:customStyle="1" w:styleId="95">
    <w:name w:val="EQ Char"/>
    <w:basedOn w:val="33"/>
    <w:qFormat/>
    <w:uiPriority w:val="0"/>
    <w:rPr>
      <w:rFonts w:hint="default" w:ascii="Times New Roman" w:hAnsi="Times New Roman" w:eastAsia="Times New Roman" w:cs="Times New Roman"/>
      <w:lang w:eastAsia="en-US"/>
    </w:rPr>
  </w:style>
  <w:style w:type="character" w:customStyle="1" w:styleId="96">
    <w:name w:val="B2 Char"/>
    <w:basedOn w:val="33"/>
    <w:qFormat/>
    <w:uiPriority w:val="0"/>
    <w:rPr>
      <w:rFonts w:hint="default" w:ascii="Times New Roman" w:hAnsi="Times New Roman" w:eastAsia="Times New Roman" w:cs="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meeting-post</cp:lastModifiedBy>
  <cp:lastPrinted>2019-02-25T14:05:00Z</cp:lastPrinted>
  <dcterms:modified xsi:type="dcterms:W3CDTF">2026-01-30T09:45:45Z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